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5"/>
        <w:tblW w:w="883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358"/>
        <w:gridCol w:w="1620"/>
        <w:gridCol w:w="179"/>
        <w:gridCol w:w="2881"/>
        <w:gridCol w:w="1260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AL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710*20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eastAsia"/>
              </w:rPr>
              <w:t>厦门厦顺铝箔有限公司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5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  <w:t>检测项目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  <w:t>检测结果</w:t>
            </w:r>
          </w:p>
        </w:tc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  <w:t>判  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  <w:t>项    目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  <w:t>技术要求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  <w:t>外观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  <w:t>铝箔表面应平整、洁净。不允许有腐蚀、压折、油斑、开缝、起皱等影响使用的缺陷，铝箔暗面不允许有影响使用的亮点、白条，纸芯端面不允许有凹陷和崩口。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  <w:t>通过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  <w:t>宽度偏差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  <w:t>±2mm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  <w:t>mm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  <w:t>厚度偏差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  <w:t>±5%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  <w:t>接头数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  <w:t>≤1个 /卷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  <w:t>刷水试验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  <w:t>A级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  <w:t>通过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  <w:t>针孔个数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  <w:t>直径≤0.2mm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  <w:t>≤80个/㎡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  <w:t>直径＞0.2mm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  <w:t>不允许有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</w:pPr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F7162DE"/>
    <w:rsid w:val="0F865A0D"/>
    <w:rsid w:val="112514CC"/>
    <w:rsid w:val="143F368F"/>
    <w:rsid w:val="222D1498"/>
    <w:rsid w:val="235B0C1A"/>
    <w:rsid w:val="23F47653"/>
    <w:rsid w:val="253919E1"/>
    <w:rsid w:val="255A7FF9"/>
    <w:rsid w:val="256C7846"/>
    <w:rsid w:val="26612929"/>
    <w:rsid w:val="293860E0"/>
    <w:rsid w:val="2A627016"/>
    <w:rsid w:val="2EC11008"/>
    <w:rsid w:val="38237B28"/>
    <w:rsid w:val="43B756F2"/>
    <w:rsid w:val="44461850"/>
    <w:rsid w:val="48234ABF"/>
    <w:rsid w:val="52333DF5"/>
    <w:rsid w:val="57633EF9"/>
    <w:rsid w:val="5A137BE1"/>
    <w:rsid w:val="5F9A6462"/>
    <w:rsid w:val="63C47040"/>
    <w:rsid w:val="66B6356E"/>
    <w:rsid w:val="69636E7A"/>
    <w:rsid w:val="6C044D54"/>
    <w:rsid w:val="6E052762"/>
    <w:rsid w:val="763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253</Characters>
  <Lines>0</Lines>
  <Paragraphs>0</Paragraphs>
  <TotalTime>2</TotalTime>
  <ScaleCrop>false</ScaleCrop>
  <LinksUpToDate>false</LinksUpToDate>
  <CharactersWithSpaces>312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萬-木头</cp:lastModifiedBy>
  <dcterms:modified xsi:type="dcterms:W3CDTF">2022-11-14T01:38:58Z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624D0248B3A54157A96340E812BA7DF7</vt:lpwstr>
  </property>
</Properties>
</file>