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cs="宋体"/>
          <w:b/>
          <w:color w:val="000000" w:themeColor="text1"/>
          <w:sz w:val="32"/>
          <w:szCs w:val="32"/>
        </w:rPr>
      </w:pPr>
    </w:p>
    <w:p>
      <w:pPr>
        <w:spacing w:line="480" w:lineRule="exact"/>
        <w:jc w:val="center"/>
        <w:rPr>
          <w:rFonts w:ascii="宋体" w:hAnsi="宋体" w:cs="宋体"/>
          <w:b/>
          <w:color w:val="000000" w:themeColor="text1"/>
          <w:sz w:val="44"/>
          <w:szCs w:val="44"/>
        </w:rPr>
      </w:pPr>
      <w:r>
        <w:rPr>
          <w:rFonts w:hint="eastAsia" w:ascii="宋体" w:hAnsi="宋体" w:cs="宋体"/>
          <w:b/>
          <w:color w:val="000000" w:themeColor="text1"/>
          <w:sz w:val="44"/>
          <w:szCs w:val="44"/>
        </w:rPr>
        <w:t>优力多能复合树脂518使用说明</w:t>
      </w:r>
    </w:p>
    <w:p>
      <w:pPr>
        <w:spacing w:line="480" w:lineRule="exact"/>
        <w:jc w:val="center"/>
        <w:rPr>
          <w:rFonts w:ascii="宋体" w:hAnsi="宋体" w:cs="宋体"/>
          <w:b/>
          <w:color w:val="000000" w:themeColor="text1"/>
          <w:sz w:val="44"/>
          <w:szCs w:val="44"/>
        </w:rPr>
      </w:pPr>
    </w:p>
    <w:p>
      <w:pPr>
        <w:spacing w:line="480" w:lineRule="exact"/>
        <w:ind w:firstLine="562" w:firstLineChars="200"/>
        <w:rPr>
          <w:rFonts w:ascii="仿宋" w:hAnsi="仿宋" w:eastAsia="仿宋" w:cs="宋体"/>
          <w:strike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</w:rPr>
        <w:t>优力多能复合树脂518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是一种</w:t>
      </w: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</w:rPr>
        <w:t>新型溶剂型聚氨酯胶粘剂，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可以真正实现高固低粘上胶，有效减低VOCs排放，节约复合成本，降低能耗和复合工序的溶剂残留。本产品不含有聚醚成份，对PE膜的摩擦系数影响极小；同时，在无需更新设备的情况下，使用干复机上胶，其初粘程度和固化条件与传统的普通型聚氨酯胶粘剂基本一致，使用更方便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color w:val="0070C0"/>
          <w:sz w:val="28"/>
          <w:szCs w:val="28"/>
        </w:rPr>
        <w:t>优力多能复合树脂518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具有</w:t>
      </w:r>
      <w:r>
        <w:rPr>
          <w:rFonts w:hint="eastAsia" w:ascii="仿宋" w:hAnsi="仿宋" w:eastAsia="仿宋" w:cs="宋体"/>
          <w:color w:val="0070C0"/>
          <w:sz w:val="28"/>
          <w:szCs w:val="28"/>
        </w:rPr>
        <w:t>粘度低、透明度好、流平性好、润湿性佳、溶剂释放性好、固化速度快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等特点，可应用于薄膜（BOPP、BOPET、BOPA、CPP、PE）与镀铝薄膜（VMCPP、VMPET）、铝箔（AL）及纸张之间的复合，可广泛用于食品类、工业品类等的软包装复合。同时PA/RCPP（PE）、PET/AL可耐水煮及（121℃/30min杀菌）。</w:t>
      </w:r>
    </w:p>
    <w:p>
      <w:pPr>
        <w:spacing w:line="480" w:lineRule="exact"/>
        <w:ind w:firstLine="562" w:firstLineChars="200"/>
        <w:rPr>
          <w:rFonts w:ascii="黑体" w:hAnsi="黑体" w:eastAsia="黑体" w:cs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</w:rPr>
        <w:t>基本性能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55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bottom w:val="single" w:color="auto" w:sz="4" w:space="0"/>
            </w:tcBorders>
            <w:shd w:val="solid" w:color="92CDDC" w:themeColor="accent5" w:themeTint="99" w:fill="00B0F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产品名称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solid" w:color="92CDDC" w:themeColor="accent5" w:themeTint="99" w:fill="00B0F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518A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solid" w:color="92CDDC" w:themeColor="accent5" w:themeTint="99" w:fill="00B0F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518B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bottom w:val="single" w:color="auto" w:sz="4" w:space="0"/>
            </w:tcBorders>
            <w:shd w:val="solid" w:color="DAEEF3" w:themeColor="accent5" w:themeTint="33" w:fill="DAEEF3" w:themeFill="accent5" w:themeFillTint="3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混合比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solid" w:color="DAEEF3" w:themeColor="accent5" w:themeTint="33" w:fill="DAEEF3" w:themeFill="accent5" w:themeFillTint="3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20（5）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solid" w:color="DAEEF3" w:themeColor="accent5" w:themeTint="33" w:fill="DAEEF3" w:themeFill="accent5" w:themeFillTint="3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4（1）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bottom w:val="single" w:color="auto" w:sz="4" w:space="0"/>
            </w:tcBorders>
            <w:shd w:val="solid" w:color="92CDDC" w:themeColor="accent5" w:themeTint="99" w:fill="92CDDC" w:themeFill="accent5" w:themeFillTint="99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固含量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solid" w:color="92CDDC" w:themeColor="accent5" w:themeTint="99" w:fill="92CDDC" w:themeFill="accent5" w:themeFillTint="99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50%±2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solid" w:color="92CDDC" w:themeColor="accent5" w:themeTint="99" w:fill="92CDDC" w:themeFill="accent5" w:themeFillTint="99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45%±2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bottom w:val="single" w:color="auto" w:sz="4" w:space="0"/>
            </w:tcBorders>
            <w:shd w:val="solid" w:color="DAEEF3" w:themeColor="accent5" w:themeTint="33" w:fill="DAEEF3" w:themeFill="accent5" w:themeFillTint="3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粘度（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查恩杯3号，25℃）</w:t>
            </w:r>
          </w:p>
        </w:tc>
        <w:tc>
          <w:tcPr>
            <w:tcW w:w="5386" w:type="dxa"/>
            <w:gridSpan w:val="2"/>
            <w:tcBorders>
              <w:bottom w:val="single" w:color="auto" w:sz="4" w:space="0"/>
            </w:tcBorders>
            <w:shd w:val="solid" w:color="DAEEF3" w:themeColor="accent5" w:themeTint="33" w:fill="DAEEF3" w:themeFill="accent5" w:themeFillTint="3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20s～75s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solid" w:color="92CDDC" w:themeColor="accent5" w:themeTint="99" w:fill="92CDDC" w:themeFill="accent5" w:themeFillTint="99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颜色</w:t>
            </w:r>
          </w:p>
        </w:tc>
        <w:tc>
          <w:tcPr>
            <w:tcW w:w="2551" w:type="dxa"/>
            <w:shd w:val="solid" w:color="92CDDC" w:themeColor="accent5" w:themeTint="99" w:fill="92CDDC" w:themeFill="accent5" w:themeFillTint="99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浅橙黄色粘稠液体</w:t>
            </w:r>
          </w:p>
        </w:tc>
        <w:tc>
          <w:tcPr>
            <w:tcW w:w="2835" w:type="dxa"/>
            <w:shd w:val="solid" w:color="92CDDC" w:themeColor="accent5" w:themeTint="99" w:fill="92CDDC" w:themeFill="accent5" w:themeFillTint="99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无色或浅黄色液体</w:t>
            </w:r>
          </w:p>
        </w:tc>
      </w:tr>
    </w:tbl>
    <w:p>
      <w:pPr>
        <w:spacing w:line="480" w:lineRule="exact"/>
        <w:ind w:firstLine="562" w:firstLineChars="200"/>
        <w:rPr>
          <w:rFonts w:ascii="黑体" w:hAnsi="黑体" w:eastAsia="黑体" w:cs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</w:rPr>
        <w:t>使用说明</w:t>
      </w:r>
    </w:p>
    <w:p>
      <w:pPr>
        <w:tabs>
          <w:tab w:val="left" w:pos="795"/>
        </w:tabs>
        <w:spacing w:line="480" w:lineRule="exact"/>
        <w:ind w:firstLine="562" w:firstLineChars="20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</w:rPr>
        <w:t>1、稀释剂：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shd w:val="clear" w:color="auto" w:fill="FFFFFF"/>
        </w:rPr>
        <w:t>稀释溶剂的水份含量不应超过500ppm（万分之五）、醇含量不得超过200ppm（万分之二）。当溶剂质量无法确定时必须通过试验，确认质量合格后再行使用。</w:t>
      </w:r>
    </w:p>
    <w:p>
      <w:pPr>
        <w:tabs>
          <w:tab w:val="left" w:pos="795"/>
        </w:tabs>
        <w:spacing w:line="480" w:lineRule="exact"/>
        <w:ind w:firstLine="562" w:firstLineChars="20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</w:rPr>
        <w:t>2、配比：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本产品的建议配比为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shd w:val="clear" w:color="auto" w:fill="FFFFFF"/>
        </w:rPr>
        <w:t>5 : 1（518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A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shd w:val="clear" w:color="auto" w:fill="FFFFFF"/>
        </w:rPr>
        <w:t xml:space="preserve"> : 518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B），特殊情况下经过试验，可对B组份的配比比例进行适当调整。</w:t>
      </w:r>
    </w:p>
    <w:p>
      <w:pPr>
        <w:tabs>
          <w:tab w:val="left" w:pos="795"/>
        </w:tabs>
        <w:spacing w:line="480" w:lineRule="exact"/>
        <w:ind w:firstLine="562" w:firstLineChars="20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</w:rPr>
        <w:t>3、混合方法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：先将适量的溶剂加入A组份中，按顺时针匀速搅拌，再把B组份加到已经稀释过的A组份溶液中，按顺时针匀速搅拌3-5分钟。</w:t>
      </w:r>
    </w:p>
    <w:p>
      <w:pPr>
        <w:tabs>
          <w:tab w:val="left" w:pos="795"/>
        </w:tabs>
        <w:spacing w:line="480" w:lineRule="exact"/>
        <w:ind w:firstLine="562" w:firstLineChars="20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</w:rPr>
        <w:t>4、对复合基材的要求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shd w:val="clear" w:color="auto" w:fill="FFFFFF"/>
        </w:rPr>
        <w:t>复合基材均需作表面处理。BOPP、CPP、PE要求达到38达因；BOPET达到50达因，BOPA达到52达因。AL必须保证除油干净，油污等级为A级；非双面处理的BOPET、BOPA不能两面复合，否则不能保证非电晕面的剥离强度。</w:t>
      </w:r>
    </w:p>
    <w:p>
      <w:pPr>
        <w:tabs>
          <w:tab w:val="left" w:pos="795"/>
        </w:tabs>
        <w:spacing w:line="480" w:lineRule="exact"/>
        <w:ind w:firstLine="562" w:firstLineChars="20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</w:rPr>
        <w:t>5、稀释参照表（25℃）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（单位：kg）</w:t>
      </w:r>
    </w:p>
    <w:tbl>
      <w:tblPr>
        <w:tblStyle w:val="5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275"/>
        <w:gridCol w:w="993"/>
        <w:gridCol w:w="1559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tcBorders>
              <w:bottom w:val="single" w:color="auto" w:sz="4" w:space="0"/>
            </w:tcBorders>
            <w:shd w:val="solid" w:color="92CDDC" w:themeColor="accent5" w:themeTint="99" w:fill="92CDDC" w:themeFill="accent5" w:themeFillTint="99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A组份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solid" w:color="92CDDC" w:themeColor="accent5" w:themeTint="99" w:fill="92CDDC" w:themeFill="accent5" w:themeFillTint="99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B组份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solid" w:color="92CDDC" w:themeColor="accent5" w:themeTint="99" w:fill="92CDDC" w:themeFill="accent5" w:themeFillTint="99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溶剂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solid" w:color="92CDDC" w:themeColor="accent5" w:themeTint="99" w:fill="92CDDC" w:themeFill="accent5" w:themeFillTint="99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工作浓度</w:t>
            </w:r>
          </w:p>
        </w:tc>
        <w:tc>
          <w:tcPr>
            <w:tcW w:w="3580" w:type="dxa"/>
            <w:tcBorders>
              <w:bottom w:val="single" w:color="auto" w:sz="4" w:space="0"/>
            </w:tcBorders>
            <w:shd w:val="solid" w:color="92CDDC" w:themeColor="accent5" w:themeTint="99" w:fill="92CDDC" w:themeFill="accent5" w:themeFillTint="99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粘度*</w:t>
            </w:r>
          </w:p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（查恩杯3号，25℃）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tcBorders>
              <w:bottom w:val="single" w:color="auto" w:sz="4" w:space="0"/>
            </w:tcBorders>
            <w:shd w:val="solid" w:color="DAEEF3" w:themeColor="accent5" w:themeTint="33" w:fill="DAEEF3" w:themeFill="accent5" w:themeFillTint="33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solid" w:color="DAEEF3" w:themeColor="accent5" w:themeTint="33" w:fill="DAEEF3" w:themeFill="accent5" w:themeFillTint="33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solid" w:color="DAEEF3" w:themeColor="accent5" w:themeTint="33" w:fill="DAEEF3" w:themeFill="accent5" w:themeFillTint="33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0.58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solid" w:color="DAEEF3" w:themeColor="accent5" w:themeTint="33" w:fill="DAEEF3" w:themeFill="accent5" w:themeFillTint="33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48%</w:t>
            </w:r>
          </w:p>
        </w:tc>
        <w:tc>
          <w:tcPr>
            <w:tcW w:w="3580" w:type="dxa"/>
            <w:tcBorders>
              <w:bottom w:val="single" w:color="auto" w:sz="4" w:space="0"/>
            </w:tcBorders>
            <w:shd w:val="solid" w:color="DAEEF3" w:themeColor="accent5" w:themeTint="33" w:fill="DAEEF3" w:themeFill="accent5" w:themeFillTint="33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26.5s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tcBorders>
              <w:bottom w:val="single" w:color="auto" w:sz="4" w:space="0"/>
            </w:tcBorders>
            <w:shd w:val="solid" w:color="92CDDC" w:themeColor="accent5" w:themeTint="99" w:fill="92CDDC" w:themeFill="accent5" w:themeFillTint="99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solid" w:color="92CDDC" w:themeColor="accent5" w:themeTint="99" w:fill="92CDDC" w:themeFill="accent5" w:themeFillTint="99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solid" w:color="92CDDC" w:themeColor="accent5" w:themeTint="99" w:fill="92CDDC" w:themeFill="accent5" w:themeFillTint="99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2.22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solid" w:color="92CDDC" w:themeColor="accent5" w:themeTint="99" w:fill="92CDDC" w:themeFill="accent5" w:themeFillTint="99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45%</w:t>
            </w:r>
          </w:p>
        </w:tc>
        <w:tc>
          <w:tcPr>
            <w:tcW w:w="3580" w:type="dxa"/>
            <w:tcBorders>
              <w:bottom w:val="single" w:color="auto" w:sz="4" w:space="0"/>
            </w:tcBorders>
            <w:shd w:val="solid" w:color="92CDDC" w:themeColor="accent5" w:themeTint="99" w:fill="92CDDC" w:themeFill="accent5" w:themeFillTint="99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24.0s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tcBorders>
              <w:bottom w:val="single" w:color="auto" w:sz="4" w:space="0"/>
            </w:tcBorders>
            <w:shd w:val="solid" w:color="DAEEF3" w:themeColor="accent5" w:themeTint="33" w:fill="DAEEF3" w:themeFill="accent5" w:themeFillTint="33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solid" w:color="DAEEF3" w:themeColor="accent5" w:themeTint="33" w:fill="DAEEF3" w:themeFill="accent5" w:themeFillTint="33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solid" w:color="DAEEF3" w:themeColor="accent5" w:themeTint="33" w:fill="DAEEF3" w:themeFill="accent5" w:themeFillTint="33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5.50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solid" w:color="DAEEF3" w:themeColor="accent5" w:themeTint="33" w:fill="DAEEF3" w:themeFill="accent5" w:themeFillTint="33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40%</w:t>
            </w:r>
          </w:p>
        </w:tc>
        <w:tc>
          <w:tcPr>
            <w:tcW w:w="3580" w:type="dxa"/>
            <w:tcBorders>
              <w:bottom w:val="single" w:color="auto" w:sz="4" w:space="0"/>
            </w:tcBorders>
            <w:shd w:val="solid" w:color="DAEEF3" w:themeColor="accent5" w:themeTint="33" w:fill="DAEEF3" w:themeFill="accent5" w:themeFillTint="33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21.5s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shd w:val="solid" w:color="92CDDC" w:themeColor="accent5" w:themeTint="99" w:fill="92CDDC" w:themeFill="accent5" w:themeFillTint="99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75" w:type="dxa"/>
            <w:shd w:val="solid" w:color="92CDDC" w:themeColor="accent5" w:themeTint="99" w:fill="92CDDC" w:themeFill="accent5" w:themeFillTint="99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solid" w:color="92CDDC" w:themeColor="accent5" w:themeTint="99" w:fill="92CDDC" w:themeFill="accent5" w:themeFillTint="99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9.71</w:t>
            </w:r>
          </w:p>
        </w:tc>
        <w:tc>
          <w:tcPr>
            <w:tcW w:w="1559" w:type="dxa"/>
            <w:shd w:val="solid" w:color="92CDDC" w:themeColor="accent5" w:themeTint="99" w:fill="92CDDC" w:themeFill="accent5" w:themeFillTint="99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35%</w:t>
            </w:r>
          </w:p>
        </w:tc>
        <w:tc>
          <w:tcPr>
            <w:tcW w:w="3580" w:type="dxa"/>
            <w:shd w:val="solid" w:color="92CDDC" w:themeColor="accent5" w:themeTint="99" w:fill="92CDDC" w:themeFill="accent5" w:themeFillTint="99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18.5s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4" w:type="dxa"/>
            <w:gridSpan w:val="5"/>
            <w:shd w:val="solid" w:color="DAEEF3" w:themeColor="accent5" w:themeTint="33" w:fill="DAEEF3" w:themeFill="accent5" w:themeFillTint="33"/>
          </w:tcPr>
          <w:p>
            <w:pPr>
              <w:snapToGrid w:val="0"/>
              <w:spacing w:line="312" w:lineRule="auto"/>
              <w:rPr>
                <w:rFonts w:ascii="仿宋" w:hAnsi="仿宋" w:eastAsia="仿宋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</w:rPr>
              <w:t>*本表所调粘度数值为随机抽取批次所得。</w:t>
            </w:r>
          </w:p>
        </w:tc>
      </w:tr>
    </w:tbl>
    <w:p>
      <w:pPr>
        <w:tabs>
          <w:tab w:val="left" w:pos="795"/>
        </w:tabs>
        <w:spacing w:line="480" w:lineRule="exact"/>
        <w:ind w:firstLine="562" w:firstLineChars="20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ascii="仿宋" w:hAnsi="仿宋" w:eastAsia="仿宋"/>
          <w:b/>
          <w:bCs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519430</wp:posOffset>
            </wp:positionV>
            <wp:extent cx="6254750" cy="3048000"/>
            <wp:effectExtent l="0" t="0" r="0" b="0"/>
            <wp:wrapSquare wrapText="bothSides"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</w:rPr>
        <w:t>6、工作浓度—粘度曲线图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（查恩杯3号，25℃）</w:t>
      </w:r>
    </w:p>
    <w:p>
      <w:pPr>
        <w:tabs>
          <w:tab w:val="left" w:pos="795"/>
        </w:tabs>
        <w:spacing w:line="480" w:lineRule="exact"/>
        <w:ind w:firstLine="562" w:firstLineChars="20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</w:rPr>
        <w:t>7、涂布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：优力多能复合树脂518的流平性非常优异，可采用高线数网线辊涂布上胶，网线辊的湿胶转移率建议在</w:t>
      </w: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</w:rPr>
        <w:t>5克～8克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；可以根据不同的材料结构和印刷膜调整不同的工作浓度，不论采取哪种工作浓度涂布，均需多次测试网线辊的湿胶转移量，以准确控制干基上胶量。</w:t>
      </w:r>
    </w:p>
    <w:p>
      <w:pPr>
        <w:tabs>
          <w:tab w:val="left" w:pos="795"/>
        </w:tabs>
        <w:spacing w:line="480" w:lineRule="exact"/>
        <w:ind w:firstLine="562" w:firstLineChars="20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</w:rPr>
        <w:t>8、干基上胶量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：优力多能复合树脂518采用了本公司专有的自交联技术，可以以较低的上胶量达到稳定的剥离强度，建议一般干基上胶量在</w:t>
      </w:r>
      <w:r>
        <w:rPr>
          <w:rFonts w:hint="eastAsia" w:ascii="仿宋" w:hAnsi="仿宋" w:eastAsia="仿宋" w:cs="宋体"/>
          <w:b/>
          <w:color w:val="E36C09" w:themeColor="accent6" w:themeShade="BF"/>
          <w:sz w:val="28"/>
          <w:szCs w:val="28"/>
        </w:rPr>
        <w:t>1.4～2.8克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。实际操作中可根据复合基材种类、印刷面积和油墨性能等通过测试确定合适的干基上胶量。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9、</w:t>
      </w: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</w:rPr>
        <w:t>干燥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：优力多能复合树脂518具有优良的溶剂排放性能，干燥工艺的设定可参考普通溶剂型聚氨酯胶粘剂。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10、</w:t>
      </w: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</w:rPr>
        <w:t>熟化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：在</w:t>
      </w:r>
      <w:r>
        <w:rPr>
          <w:rFonts w:hint="eastAsia" w:ascii="仿宋" w:hAnsi="仿宋" w:eastAsia="仿宋" w:cs="宋体"/>
          <w:b/>
          <w:color w:val="E36C09" w:themeColor="accent6" w:themeShade="BF"/>
          <w:sz w:val="28"/>
          <w:szCs w:val="28"/>
        </w:rPr>
        <w:t>45℃左右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熟化</w:t>
      </w:r>
      <w:r>
        <w:rPr>
          <w:rFonts w:hint="eastAsia" w:ascii="仿宋" w:hAnsi="仿宋" w:eastAsia="仿宋" w:cs="宋体"/>
          <w:b/>
          <w:color w:val="E36C09" w:themeColor="accent6" w:themeShade="BF"/>
          <w:sz w:val="28"/>
          <w:szCs w:val="28"/>
        </w:rPr>
        <w:t>24～48小时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并充分冷却后可进行下工序加工。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11、</w:t>
      </w: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</w:rPr>
        <w:t>使用和存放时间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：配制好的溶液在密闭容器内存放6小时内测试胶液性能无异常后可使用，高温高湿情况下（温度＞28℃，湿度＞60%）建议2小时内用完。当日未用完的余胶溶液，采取低温（温度0～5℃）密封贮存，贮存时间不超过12小时；再次使用余胶前确定溶液质量未发生变化，并按照不高于10%的比例兑入新胶使用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12、</w:t>
      </w: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</w:rPr>
        <w:t>特别提示：优力多能复合树脂518通用型复合强度优异，应力较大，在复合VMPET或VMCPP时可能出现不同程度的镀铝转移现象，需先进行适用性测试，确认合格后再行批量生产。</w:t>
      </w:r>
      <w:r>
        <w:rPr>
          <w:rFonts w:ascii="仿宋" w:hAnsi="仿宋" w:eastAsia="仿宋" w:cs="宋体"/>
          <w:color w:val="000000" w:themeColor="text1"/>
          <w:sz w:val="28"/>
          <w:szCs w:val="28"/>
        </w:rPr>
        <w:t xml:space="preserve"> 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13、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薄膜添加剂、薄膜的预处理及涂层、印刷工艺、复合工业，以及包装物的内容物等对复合成品的最终性能都会产生影响，在大规模生产前，建议进行小样测试和相关检测予以确认。我公司会根据市场使用状况提供《优力多能复合树脂518特别友情提示》，请认真参阅。</w:t>
      </w:r>
    </w:p>
    <w:p>
      <w:pPr>
        <w:spacing w:line="480" w:lineRule="exact"/>
        <w:ind w:firstLine="562" w:firstLineChars="200"/>
        <w:rPr>
          <w:rFonts w:ascii="黑体" w:hAnsi="黑体" w:eastAsia="黑体" w:cs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</w:rPr>
        <w:t>包装规格</w:t>
      </w:r>
    </w:p>
    <w:p>
      <w:pPr>
        <w:spacing w:line="480" w:lineRule="exact"/>
        <w:ind w:firstLine="991" w:firstLineChars="354"/>
        <w:rPr>
          <w:rFonts w:ascii="黑体" w:hAnsi="黑体" w:eastAsia="黑体" w:cs="黑体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 xml:space="preserve">优力多能复合树脂518A组份   </w:t>
      </w:r>
      <w:r>
        <w:rPr>
          <w:rFonts w:hint="eastAsia" w:ascii="仿宋" w:hAnsi="仿宋" w:eastAsia="仿宋" w:cs="宋体"/>
          <w:color w:val="0070C0"/>
          <w:sz w:val="28"/>
          <w:szCs w:val="28"/>
        </w:rPr>
        <w:t>20公斤/桶</w:t>
      </w:r>
    </w:p>
    <w:p>
      <w:pPr>
        <w:spacing w:line="480" w:lineRule="exact"/>
        <w:ind w:firstLine="991" w:firstLineChars="354"/>
        <w:rPr>
          <w:rFonts w:ascii="黑体" w:hAnsi="黑体" w:eastAsia="黑体" w:cs="黑体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 xml:space="preserve">优力多能复合树脂518B组份    </w:t>
      </w:r>
      <w:r>
        <w:rPr>
          <w:rFonts w:hint="eastAsia" w:ascii="仿宋" w:hAnsi="仿宋" w:eastAsia="仿宋" w:cs="宋体"/>
          <w:color w:val="0070C0"/>
          <w:sz w:val="28"/>
          <w:szCs w:val="28"/>
        </w:rPr>
        <w:t>4公斤/桶</w:t>
      </w:r>
    </w:p>
    <w:p>
      <w:pPr>
        <w:spacing w:line="480" w:lineRule="exact"/>
        <w:ind w:firstLine="562" w:firstLineChars="200"/>
        <w:rPr>
          <w:rFonts w:ascii="黑体" w:hAnsi="黑体" w:eastAsia="黑体" w:cs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</w:rPr>
        <w:t>储存及保质期</w:t>
      </w:r>
    </w:p>
    <w:p>
      <w:pPr>
        <w:spacing w:line="480" w:lineRule="exact"/>
        <w:ind w:firstLine="435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4"/>
        </w:rPr>
        <w:t xml:space="preserve">    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优力多能复合树脂518在阴凉、干燥处存放，保质期为9个月。</w:t>
      </w:r>
    </w:p>
    <w:p>
      <w:pPr>
        <w:spacing w:line="480" w:lineRule="exact"/>
        <w:ind w:firstLine="562" w:firstLineChars="200"/>
        <w:rPr>
          <w:rFonts w:ascii="黑体" w:hAnsi="黑体" w:eastAsia="黑体" w:cs="黑体"/>
          <w:b/>
          <w:color w:val="E36C09" w:themeColor="accent6" w:themeShade="BF"/>
          <w:sz w:val="28"/>
          <w:szCs w:val="28"/>
        </w:rPr>
      </w:pPr>
      <w:r>
        <w:rPr>
          <w:rFonts w:hint="eastAsia" w:ascii="黑体" w:hAnsi="黑体" w:eastAsia="黑体" w:cs="黑体"/>
          <w:b/>
          <w:color w:val="E36C09" w:themeColor="accent6" w:themeShade="BF"/>
          <w:sz w:val="28"/>
          <w:szCs w:val="28"/>
        </w:rPr>
        <w:t>重要声明</w:t>
      </w:r>
    </w:p>
    <w:p>
      <w:pPr>
        <w:numPr>
          <w:ilvl w:val="0"/>
          <w:numId w:val="1"/>
        </w:numPr>
        <w:spacing w:line="480" w:lineRule="exact"/>
        <w:ind w:left="87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本产品属易燃危险品，非专业人员请勿操作，操作时请按我公司提供的《物料安全说明书》（MSDS）以及国家有关易燃危险品作业要求执行。</w:t>
      </w:r>
    </w:p>
    <w:p>
      <w:pPr>
        <w:numPr>
          <w:ilvl w:val="0"/>
          <w:numId w:val="1"/>
        </w:numPr>
        <w:spacing w:line="480" w:lineRule="exact"/>
        <w:ind w:left="870"/>
        <w:rPr>
          <w:rFonts w:ascii="仿宋" w:hAnsi="仿宋" w:eastAsia="仿宋" w:cs="宋体"/>
          <w:color w:val="E36C09" w:themeColor="accent6" w:themeShade="BF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本公司只对产品本身存在的质量问题负有责任；对因复合产品使用环境（温湿度）、材料变化、使用方法及工艺误差、设备原因等引起的损失，不负任何责任；也不对由此造成的其他间接损失负责。因此，我们郑重声明：</w:t>
      </w:r>
      <w:r>
        <w:rPr>
          <w:rFonts w:hint="eastAsia" w:ascii="仿宋" w:hAnsi="仿宋" w:eastAsia="仿宋" w:cs="宋体"/>
          <w:color w:val="E36C09" w:themeColor="accent6" w:themeShade="BF"/>
          <w:sz w:val="28"/>
          <w:szCs w:val="28"/>
        </w:rPr>
        <w:t>本公司不对产品的最终适用性承担任何责任。在批量使用前，请务必对优力多能复合树脂使用的适用性及使用工艺进行试验确认，严格执行首件检查制。若不接受此声明，请将本产品原装退回。</w:t>
      </w:r>
    </w:p>
    <w:p>
      <w:pPr>
        <w:numPr>
          <w:ilvl w:val="0"/>
          <w:numId w:val="1"/>
        </w:numPr>
        <w:spacing w:line="480" w:lineRule="exact"/>
        <w:ind w:left="87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以上使用说明所述内容仅依据我方现有的认知及实验室数据所得，仅供客户使用时参考。如有疑问，请咨询我方技术人员。</w:t>
      </w:r>
    </w:p>
    <w:p>
      <w:pPr>
        <w:numPr>
          <w:ilvl w:val="0"/>
          <w:numId w:val="1"/>
        </w:numPr>
        <w:spacing w:line="480" w:lineRule="exact"/>
        <w:ind w:left="87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本公司任何员工均无权放弃本声明。</w:t>
      </w:r>
    </w:p>
    <w:p>
      <w:pPr>
        <w:numPr>
          <w:ilvl w:val="0"/>
          <w:numId w:val="1"/>
        </w:numPr>
        <w:spacing w:line="480" w:lineRule="exact"/>
        <w:ind w:left="87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优力多能复合树脂产品或技术资料可能出现调整或修改，恕不一一通知。欢迎浏览我公司网站或电话咨询，关注更多相关信息。</w:t>
      </w:r>
    </w:p>
    <w:p>
      <w:pPr>
        <w:spacing w:line="480" w:lineRule="exact"/>
        <w:ind w:left="870"/>
        <w:rPr>
          <w:rFonts w:ascii="仿宋" w:hAnsi="仿宋" w:eastAsia="仿宋" w:cs="宋体"/>
          <w:color w:val="000000" w:themeColor="text1"/>
          <w:sz w:val="28"/>
          <w:szCs w:val="28"/>
        </w:rPr>
      </w:pPr>
    </w:p>
    <w:p>
      <w:pPr>
        <w:rPr>
          <w:color w:val="000000" w:themeColor="text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object>
        <v:shape id="_x0000_i1026" o:spt="75" type="#_x0000_t75" style="height:23.75pt;width:420.45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CorelDraw.Graphic.20" ShapeID="_x0000_i1026" DrawAspect="Content" ObjectID="_1468075726" r:id="rId1">
          <o:LockedField>false</o:LockedField>
        </o:OLEObject>
      </w:obje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object>
        <v:shape id="_x0000_i1025" o:spt="75" type="#_x0000_t75" style="height:17.65pt;width:117.5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CorelDraw.Graphic.20" ShapeID="_x0000_i1025" DrawAspect="Content" ObjectID="_1468075725" r:id="rId1">
          <o:LockedField>false</o:LockedField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F9515"/>
    <w:multiLevelType w:val="singleLevel"/>
    <w:tmpl w:val="57DF95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55"/>
    <w:rsid w:val="00003F01"/>
    <w:rsid w:val="000141EF"/>
    <w:rsid w:val="000413F0"/>
    <w:rsid w:val="0005482A"/>
    <w:rsid w:val="000557D8"/>
    <w:rsid w:val="0006058A"/>
    <w:rsid w:val="000A71EC"/>
    <w:rsid w:val="000B0EF4"/>
    <w:rsid w:val="000D0477"/>
    <w:rsid w:val="000D0842"/>
    <w:rsid w:val="00101A12"/>
    <w:rsid w:val="00147F7A"/>
    <w:rsid w:val="001516E9"/>
    <w:rsid w:val="00161FE2"/>
    <w:rsid w:val="00187A29"/>
    <w:rsid w:val="001B06EC"/>
    <w:rsid w:val="00266DE6"/>
    <w:rsid w:val="00270508"/>
    <w:rsid w:val="00275F03"/>
    <w:rsid w:val="0029644D"/>
    <w:rsid w:val="002D2BE5"/>
    <w:rsid w:val="00331076"/>
    <w:rsid w:val="003506F7"/>
    <w:rsid w:val="003815B6"/>
    <w:rsid w:val="003C0A80"/>
    <w:rsid w:val="003C7519"/>
    <w:rsid w:val="00403B32"/>
    <w:rsid w:val="00446046"/>
    <w:rsid w:val="00483C32"/>
    <w:rsid w:val="004D672A"/>
    <w:rsid w:val="004E7C2D"/>
    <w:rsid w:val="0050658E"/>
    <w:rsid w:val="005411A0"/>
    <w:rsid w:val="005B4C16"/>
    <w:rsid w:val="005F3429"/>
    <w:rsid w:val="005F43E5"/>
    <w:rsid w:val="006068C9"/>
    <w:rsid w:val="00626195"/>
    <w:rsid w:val="00690320"/>
    <w:rsid w:val="006B7E21"/>
    <w:rsid w:val="00751D71"/>
    <w:rsid w:val="007A5F57"/>
    <w:rsid w:val="007C6FF7"/>
    <w:rsid w:val="00801017"/>
    <w:rsid w:val="00822E7F"/>
    <w:rsid w:val="00866AB7"/>
    <w:rsid w:val="00886B20"/>
    <w:rsid w:val="008C7698"/>
    <w:rsid w:val="009024B9"/>
    <w:rsid w:val="00923756"/>
    <w:rsid w:val="009417BD"/>
    <w:rsid w:val="00943F5A"/>
    <w:rsid w:val="0094669B"/>
    <w:rsid w:val="009601ED"/>
    <w:rsid w:val="009C7155"/>
    <w:rsid w:val="009E10D4"/>
    <w:rsid w:val="00A522D7"/>
    <w:rsid w:val="00AB755F"/>
    <w:rsid w:val="00AC3C66"/>
    <w:rsid w:val="00AE2F29"/>
    <w:rsid w:val="00B16CFE"/>
    <w:rsid w:val="00BA0F1F"/>
    <w:rsid w:val="00BE407C"/>
    <w:rsid w:val="00BE4FD4"/>
    <w:rsid w:val="00CD1B6F"/>
    <w:rsid w:val="00CE2996"/>
    <w:rsid w:val="00D11493"/>
    <w:rsid w:val="00DC3189"/>
    <w:rsid w:val="00DD1113"/>
    <w:rsid w:val="00DF0A15"/>
    <w:rsid w:val="00E031CE"/>
    <w:rsid w:val="00E14252"/>
    <w:rsid w:val="00E2666A"/>
    <w:rsid w:val="00E3360D"/>
    <w:rsid w:val="00E4685A"/>
    <w:rsid w:val="00E655DC"/>
    <w:rsid w:val="00E75216"/>
    <w:rsid w:val="00E85520"/>
    <w:rsid w:val="00E97CBE"/>
    <w:rsid w:val="00EA31A2"/>
    <w:rsid w:val="00EA6C07"/>
    <w:rsid w:val="00ED0A0C"/>
    <w:rsid w:val="00F24DA6"/>
    <w:rsid w:val="00F37E97"/>
    <w:rsid w:val="00F55A40"/>
    <w:rsid w:val="00F76555"/>
    <w:rsid w:val="00F948E6"/>
    <w:rsid w:val="00FB5C5F"/>
    <w:rsid w:val="00FC0800"/>
    <w:rsid w:val="00FD1B4F"/>
    <w:rsid w:val="13E7584D"/>
    <w:rsid w:val="1AE20152"/>
    <w:rsid w:val="2E976E7D"/>
    <w:rsid w:val="47512A38"/>
    <w:rsid w:val="7FF1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03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zh-CN" altLang="en-US"/>
              <a:t>优力多能复合树脂与传统酯溶性聚氨酯双组份粘度对照图</a:t>
            </a:r>
            <a:endParaRPr lang="zh-CN" altLang="en-US"/>
          </a:p>
        </c:rich>
      </c:tx>
      <c:layout>
        <c:manualLayout>
          <c:xMode val="edge"/>
          <c:yMode val="edge"/>
          <c:x val="0.126530612244898"/>
          <c:y val="0.0208333333333333"/>
        </c:manualLayout>
      </c:layout>
      <c:overlay val="0"/>
      <c:spPr>
        <a:noFill/>
        <a:ln w="1905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948979591836737"/>
          <c:y val="0.189583333333333"/>
          <c:w val="0.709183673469389"/>
          <c:h val="0.60833333333333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传统酯溶性聚氨酯双组份</c:v>
                </c:pt>
              </c:strCache>
            </c:strRef>
          </c:tx>
          <c:spPr>
            <a:ln w="9527" cap="rnd" cmpd="sng" algn="ctr">
              <a:solidFill>
                <a:srgbClr val="000080"/>
              </a:solidFill>
              <a:prstDash val="solid"/>
              <a:round/>
            </a:ln>
          </c:spPr>
          <c:marker>
            <c:symbol val="diamond"/>
            <c:size val="3"/>
            <c:spPr>
              <a:solidFill>
                <a:srgbClr val="000080"/>
              </a:solidFill>
              <a:ln w="9525" cap="flat" cmpd="sng" algn="ctr">
                <a:solidFill>
                  <a:srgbClr val="000080"/>
                </a:solidFill>
                <a:prstDash val="solid"/>
                <a:round/>
              </a:ln>
            </c:spPr>
          </c:marker>
          <c:dLbls>
            <c:delete val="1"/>
          </c:dLbls>
          <c:cat>
            <c:numRef>
              <c:f>Sheet1!$B$1:$O$1</c:f>
              <c:numCache>
                <c:formatCode>0%</c:formatCode>
                <c:ptCount val="14"/>
                <c:pt idx="0" c:formatCode="0%">
                  <c:v>0.25</c:v>
                </c:pt>
                <c:pt idx="1" c:formatCode="0%">
                  <c:v>0.26</c:v>
                </c:pt>
                <c:pt idx="2" c:formatCode="0%">
                  <c:v>0.27</c:v>
                </c:pt>
                <c:pt idx="3" c:formatCode="0%">
                  <c:v>0.28</c:v>
                </c:pt>
                <c:pt idx="4" c:formatCode="0%">
                  <c:v>0.29</c:v>
                </c:pt>
                <c:pt idx="5" c:formatCode="0%">
                  <c:v>0.3</c:v>
                </c:pt>
                <c:pt idx="6" c:formatCode="0%">
                  <c:v>0.31</c:v>
                </c:pt>
                <c:pt idx="7" c:formatCode="0%">
                  <c:v>0.32</c:v>
                </c:pt>
                <c:pt idx="8" c:formatCode="0%">
                  <c:v>0.33</c:v>
                </c:pt>
                <c:pt idx="9" c:formatCode="0%">
                  <c:v>0.34</c:v>
                </c:pt>
                <c:pt idx="10" c:formatCode="0%">
                  <c:v>0.35</c:v>
                </c:pt>
                <c:pt idx="11" c:formatCode="0%">
                  <c:v>0.4</c:v>
                </c:pt>
                <c:pt idx="12" c:formatCode="0%">
                  <c:v>0.45</c:v>
                </c:pt>
                <c:pt idx="13" c:formatCode="0%">
                  <c:v>0.48</c:v>
                </c:pt>
              </c:numCache>
            </c:numRef>
          </c:cat>
          <c:val>
            <c:numRef>
              <c:f>Sheet1!$B$2:$O$2</c:f>
              <c:numCache>
                <c:formatCode>General</c:formatCode>
                <c:ptCount val="14"/>
                <c:pt idx="0">
                  <c:v>12.4</c:v>
                </c:pt>
                <c:pt idx="1">
                  <c:v>12.8</c:v>
                </c:pt>
                <c:pt idx="2">
                  <c:v>13.05</c:v>
                </c:pt>
                <c:pt idx="3">
                  <c:v>13.81</c:v>
                </c:pt>
                <c:pt idx="4">
                  <c:v>14.57</c:v>
                </c:pt>
                <c:pt idx="5">
                  <c:v>15.71</c:v>
                </c:pt>
                <c:pt idx="6">
                  <c:v>16.67</c:v>
                </c:pt>
                <c:pt idx="7">
                  <c:v>18.1</c:v>
                </c:pt>
                <c:pt idx="8">
                  <c:v>19.6</c:v>
                </c:pt>
                <c:pt idx="9">
                  <c:v>21.43</c:v>
                </c:pt>
                <c:pt idx="10">
                  <c:v>23.2</c:v>
                </c:pt>
                <c:pt idx="11">
                  <c:v>25</c:v>
                </c:pt>
                <c:pt idx="12">
                  <c:v>27.5</c:v>
                </c:pt>
                <c:pt idx="13">
                  <c:v>30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优力多能复合树脂</c:v>
                </c:pt>
              </c:strCache>
            </c:strRef>
          </c:tx>
          <c:spPr>
            <a:ln w="9527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square"/>
            <c:size val="3"/>
            <c:spPr>
              <a:solidFill>
                <a:srgbClr val="FF00FF"/>
              </a:solidFill>
              <a:ln w="9525" cap="flat" cmpd="sng" algn="ctr">
                <a:solidFill>
                  <a:srgbClr val="FF00FF"/>
                </a:solidFill>
                <a:prstDash val="solid"/>
                <a:round/>
              </a:ln>
            </c:spPr>
          </c:marker>
          <c:dLbls>
            <c:delete val="1"/>
          </c:dLbls>
          <c:cat>
            <c:numRef>
              <c:f>Sheet1!$B$1:$O$1</c:f>
              <c:numCache>
                <c:formatCode>0%</c:formatCode>
                <c:ptCount val="14"/>
                <c:pt idx="0" c:formatCode="0%">
                  <c:v>0.25</c:v>
                </c:pt>
                <c:pt idx="1" c:formatCode="0%">
                  <c:v>0.26</c:v>
                </c:pt>
                <c:pt idx="2" c:formatCode="0%">
                  <c:v>0.27</c:v>
                </c:pt>
                <c:pt idx="3" c:formatCode="0%">
                  <c:v>0.28</c:v>
                </c:pt>
                <c:pt idx="4" c:formatCode="0%">
                  <c:v>0.29</c:v>
                </c:pt>
                <c:pt idx="5" c:formatCode="0%">
                  <c:v>0.3</c:v>
                </c:pt>
                <c:pt idx="6" c:formatCode="0%">
                  <c:v>0.31</c:v>
                </c:pt>
                <c:pt idx="7" c:formatCode="0%">
                  <c:v>0.32</c:v>
                </c:pt>
                <c:pt idx="8" c:formatCode="0%">
                  <c:v>0.33</c:v>
                </c:pt>
                <c:pt idx="9" c:formatCode="0%">
                  <c:v>0.34</c:v>
                </c:pt>
                <c:pt idx="10" c:formatCode="0%">
                  <c:v>0.35</c:v>
                </c:pt>
                <c:pt idx="11" c:formatCode="0%">
                  <c:v>0.4</c:v>
                </c:pt>
                <c:pt idx="12" c:formatCode="0%">
                  <c:v>0.45</c:v>
                </c:pt>
                <c:pt idx="13" c:formatCode="0%">
                  <c:v>0.48</c:v>
                </c:pt>
              </c:numCache>
            </c:numRef>
          </c:cat>
          <c:val>
            <c:numRef>
              <c:f>Sheet1!$B$3:$O$3</c:f>
              <c:numCache>
                <c:formatCode>General</c:formatCode>
                <c:ptCount val="14"/>
                <c:pt idx="5">
                  <c:v>10</c:v>
                </c:pt>
                <c:pt idx="6">
                  <c:v>10.3</c:v>
                </c:pt>
                <c:pt idx="7">
                  <c:v>11</c:v>
                </c:pt>
                <c:pt idx="8">
                  <c:v>12</c:v>
                </c:pt>
                <c:pt idx="9">
                  <c:v>15</c:v>
                </c:pt>
                <c:pt idx="10">
                  <c:v>18.5</c:v>
                </c:pt>
                <c:pt idx="11">
                  <c:v>21.5</c:v>
                </c:pt>
                <c:pt idx="12">
                  <c:v>24</c:v>
                </c:pt>
                <c:pt idx="13">
                  <c:v>26.5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1"/>
        <c:axId val="171603456"/>
        <c:axId val="171630592"/>
      </c:lineChart>
      <c:catAx>
        <c:axId val="17160345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805" b="1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rPr lang="zh-CN" altLang="en-US"/>
                  <a:t>工作浓度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397959183673469"/>
              <c:y val="0.9"/>
            </c:manualLayout>
          </c:layout>
          <c:overlay val="0"/>
          <c:spPr>
            <a:noFill/>
            <a:ln w="19054">
              <a:noFill/>
            </a:ln>
          </c:spPr>
        </c:title>
        <c:numFmt formatCode="0%" sourceLinked="1"/>
        <c:majorTickMark val="in"/>
        <c:minorTickMark val="none"/>
        <c:tickLblPos val="nextTo"/>
        <c:spPr>
          <a:ln w="2382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805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71630592"/>
        <c:crosses val="autoZero"/>
        <c:auto val="1"/>
        <c:lblAlgn val="ctr"/>
        <c:lblOffset val="100"/>
        <c:tickLblSkip val="1"/>
        <c:noMultiLvlLbl val="0"/>
      </c:catAx>
      <c:valAx>
        <c:axId val="171630592"/>
        <c:scaling>
          <c:orientation val="minMax"/>
          <c:max val="30"/>
        </c:scaling>
        <c:delete val="0"/>
        <c:axPos val="l"/>
        <c:majorGridlines>
          <c:spPr>
            <a:ln w="2382" cap="flat" cmpd="sng" algn="ctr">
              <a:solidFill>
                <a:srgbClr val="000000"/>
              </a:solidFill>
              <a:prstDash val="solid"/>
              <a:round/>
            </a:ln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805" b="1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rPr lang="zh-CN" altLang="en-US"/>
                  <a:t>粘度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0122448979591837"/>
              <c:y val="0.4375"/>
            </c:manualLayout>
          </c:layout>
          <c:overlay val="0"/>
          <c:spPr>
            <a:noFill/>
            <a:ln w="19054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2382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805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71603456"/>
        <c:crosses val="autoZero"/>
        <c:crossBetween val="midCat"/>
        <c:majorUnit val="5"/>
        <c:minorUnit val="2"/>
      </c:valAx>
      <c:spPr>
        <a:gradFill rotWithShape="0">
          <a:gsLst>
            <a:gs pos="0">
              <a:srgbClr val="00FFFF"/>
            </a:gs>
            <a:gs pos="100000">
              <a:srgbClr val="000101">
                <a:gamma/>
                <a:shade val="52549"/>
                <a:invGamma/>
              </a:srgbClr>
            </a:gs>
          </a:gsLst>
          <a:lin ang="5400000" scaled="1"/>
        </a:gradFill>
        <a:ln w="952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2244897959185"/>
          <c:y val="0.302083333333333"/>
          <c:w val="0.177602781885767"/>
          <c:h val="0.39375"/>
        </c:manualLayout>
      </c:layout>
      <c:overlay val="0"/>
      <c:spPr>
        <a:solidFill>
          <a:srgbClr val="FFFFFF"/>
        </a:solidFill>
        <a:ln w="2382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760" b="1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 sz="825" b="1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B11D0-AAA0-437B-9022-62B6B05EE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318</Words>
  <Characters>1816</Characters>
  <Lines>15</Lines>
  <Paragraphs>4</Paragraphs>
  <TotalTime>43</TotalTime>
  <ScaleCrop>false</ScaleCrop>
  <LinksUpToDate>false</LinksUpToDate>
  <CharactersWithSpaces>2130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2018-07-31T01:51:00Z</dcterms:created>
  <dc:creator>dell</dc:creator>
  <cp:lastModifiedBy>耳东~陈</cp:lastModifiedBy>
  <cp:lastPrinted>2018-09-29T01:38:00Z</cp:lastPrinted>
  <dcterms:modified xsi:type="dcterms:W3CDTF">2023-09-25T07:40:00Z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E21FF24161634EEEB6EB4B6F10727C12_13</vt:lpwstr>
  </property>
</Properties>
</file>