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5EAEE9">
      <w:pPr>
        <w:pStyle w:val="30"/>
        <w:keepNext w:val="0"/>
        <w:keepLines w:val="0"/>
        <w:pageBreakBefore w:val="0"/>
        <w:widowControl w:val="0"/>
        <w:kinsoku/>
        <w:wordWrap/>
        <w:overflowPunct/>
        <w:topLinePunct w:val="0"/>
        <w:autoSpaceDE w:val="0"/>
        <w:autoSpaceDN w:val="0"/>
        <w:bidi w:val="0"/>
        <w:adjustRightInd w:val="0"/>
        <w:snapToGrid w:val="0"/>
        <w:spacing w:before="157" w:beforeLines="50"/>
        <w:ind w:firstLine="0" w:firstLineChars="0"/>
        <w:jc w:val="center"/>
        <w:textAlignment w:val="auto"/>
        <w:rPr>
          <w:rFonts w:hint="eastAsia" w:eastAsia="宋体"/>
          <w:b/>
          <w:sz w:val="36"/>
          <w:lang w:val="en-US" w:eastAsia="zh-CN"/>
        </w:rPr>
      </w:pPr>
      <w:bookmarkStart w:id="0" w:name="_Toc143851860"/>
      <w:r>
        <w:rPr>
          <w:rFonts w:hint="eastAsia"/>
          <w:b/>
          <w:sz w:val="36"/>
          <w:lang w:val="en-US" w:eastAsia="zh-CN"/>
        </w:rPr>
        <w:t>湖南深环</w:t>
      </w:r>
      <w:r>
        <w:rPr>
          <w:rFonts w:hint="eastAsia"/>
          <w:b/>
          <w:sz w:val="36"/>
        </w:rPr>
        <w:t>企业环保技术咨询服务</w:t>
      </w:r>
    </w:p>
    <w:bookmarkEnd w:id="0"/>
    <w:p w14:paraId="6AA2DEC0">
      <w:pPr>
        <w:pStyle w:val="2"/>
      </w:pPr>
      <w:r>
        <w:rPr>
          <w:rFonts w:hint="eastAsia"/>
        </w:rPr>
        <w:t>服务背景</w:t>
      </w:r>
    </w:p>
    <w:p w14:paraId="00916A93">
      <w:pPr>
        <w:pStyle w:val="30"/>
      </w:pPr>
      <w:r>
        <w:rPr>
          <w:rFonts w:hint="eastAsia"/>
        </w:rPr>
        <w:t>近年来，随着国家对生态环境绿色发展的高度重视，企业在生产运营过程中面临的环保压力日益增大。为了实现可持续发展，满足政府监管要求，提高企业的社会责任形象，建立一套完善的企业环保管理体系变得尤为重要。企业环保技术服务旨在帮助企业遵守环保法律法规，减少环境污染，提高资源利用率，同时提升企业的社会形象和竞争力。本方案将通过一系列具体措施，帮助企业构建起全方位、多层次的环保管理体系。本方案旨在为为企业全生命周期提供专业的技术咨询与服务，帮助企业在遵守法律法规的同时，实现经济效益与环境保护的双赢。</w:t>
      </w:r>
    </w:p>
    <w:p w14:paraId="66DD8019">
      <w:pPr>
        <w:pStyle w:val="2"/>
      </w:pPr>
      <w:r>
        <w:rPr>
          <w:rFonts w:hint="eastAsia"/>
        </w:rPr>
        <w:t>服务内容</w:t>
      </w:r>
    </w:p>
    <w:p w14:paraId="132BD9F1">
      <w:pPr>
        <w:pStyle w:val="30"/>
      </w:pPr>
      <w:r>
        <w:rPr>
          <w:rFonts w:hint="eastAsia"/>
        </w:rPr>
        <w:t>1、企业环境隐患排查</w:t>
      </w:r>
    </w:p>
    <w:p w14:paraId="5E92CFBB">
      <w:pPr>
        <w:pStyle w:val="30"/>
      </w:pPr>
      <w:r>
        <w:rPr>
          <w:rFonts w:hint="eastAsia"/>
        </w:rPr>
        <w:t>根据国家和行业标准规范，《企业突发环境事件隐患排查和治理工作指南》、《生态环境监察工作指南》相关涉及到现场检查的技术文件及要求，对企业进行环境隐患排查，重点排查内容主要包括污染治理设施是否正常有效运行、是否采用了符合设计规范的处理工艺、是否按照排污许可证要求执行污染排放标准、末端在线监控设施是否正常运行、是否设置了风险防控措施、是否按规定开展突发环境事件风险评估，确定风险等级、是否按规定制定突发环境事件应急预案并备案、是否按规定建立健全隐患排查治理制度、是否按规定开展突发环境事件应急培训、是否按规定储备必要的环境应急装备和物资、以及是否存在偷设案管、篡改监测数据、不正常运行污染治理设施等环境违法行为。在排查过程中发现存在的风险问题及时汇总并形成排查报告。</w:t>
      </w:r>
    </w:p>
    <w:p w14:paraId="2C616AFD">
      <w:pPr>
        <w:pStyle w:val="30"/>
      </w:pPr>
      <w:r>
        <w:t>2</w:t>
      </w:r>
      <w:r>
        <w:rPr>
          <w:rFonts w:hint="eastAsia"/>
        </w:rPr>
        <w:t>、应急预案制定</w:t>
      </w:r>
    </w:p>
    <w:p w14:paraId="55A12996">
      <w:pPr>
        <w:pStyle w:val="30"/>
      </w:pPr>
      <w:r>
        <w:rPr>
          <w:rFonts w:hint="eastAsia"/>
        </w:rPr>
        <w:t>充分调查企业固定风险源、移动风险源、环境风险受体和环境风险控制能力等基本信息的基础上，系统性地识别环境风险源，规范开展风险评估，准确划定风险等级，提出风险管控措施，科学制定应急预案。</w:t>
      </w:r>
    </w:p>
    <w:p w14:paraId="56D5EB73">
      <w:pPr>
        <w:pStyle w:val="30"/>
      </w:pPr>
      <w:r>
        <w:t>3</w:t>
      </w:r>
      <w:r>
        <w:rPr>
          <w:rFonts w:hint="eastAsia"/>
        </w:rPr>
        <w:t>、排污许可申报</w:t>
      </w:r>
    </w:p>
    <w:p w14:paraId="748DADB3">
      <w:pPr>
        <w:pStyle w:val="30"/>
      </w:pPr>
      <w:r>
        <w:rPr>
          <w:rFonts w:hint="eastAsia"/>
        </w:rPr>
        <w:t>根据《排污许可管理条例》第三十七条规定，未按照排污许可证规定提交排污许可证执行报告，由生态环境主管部门责令整改，处每次5千以上2万元以下罚款。《排污许可管理办法》明确该规定为内容、频次和时间要求。执行报告的按时提交，是持证企业履行环保主体责任的重要体现。这一做法不仅能让企业清晰地了解自身的排放情况，还有助于企业及时发现并纠正存在的问题。同时，这也是一条报备排污许可管理情况的重要途径。通过定期跟踪全国排污许可管理信息化系统以及湖南省排污许可管理平台，对企业执行报告提交提醒、许可证到期前提醒、许可排放量余量不足进行预提醒、报警和信息推送。对许可证和执行报告的申报情况进行规范性审核，确保符合排污许可的申报要求。</w:t>
      </w:r>
    </w:p>
    <w:p w14:paraId="5E2DD98B">
      <w:pPr>
        <w:pStyle w:val="30"/>
      </w:pPr>
      <w:r>
        <w:t>4</w:t>
      </w:r>
      <w:r>
        <w:rPr>
          <w:rFonts w:hint="eastAsia"/>
        </w:rPr>
        <w:t>、环保验收</w:t>
      </w:r>
    </w:p>
    <w:p w14:paraId="7427DDDE">
      <w:pPr>
        <w:pStyle w:val="30"/>
      </w:pPr>
      <w:r>
        <w:rPr>
          <w:rFonts w:hint="eastAsia"/>
        </w:rPr>
        <w:t>协助项目竣工环保验收系列工作，监测建设项目外排污染物达标情况，验证污染治理效果、核查环境影响评价要求和环评批复的落实情况，提出改进意见，协助填报项目验收信息等，助力企业完成项目的竣工环保验收。</w:t>
      </w:r>
    </w:p>
    <w:p w14:paraId="5DAA797E">
      <w:pPr>
        <w:pStyle w:val="30"/>
      </w:pPr>
      <w:r>
        <w:rPr>
          <w:rFonts w:hint="eastAsia"/>
        </w:rPr>
        <w:t>5、用电监控设施运维</w:t>
      </w:r>
    </w:p>
    <w:p w14:paraId="4E1907A2">
      <w:pPr>
        <w:pStyle w:val="30"/>
      </w:pPr>
      <w:r>
        <w:rPr>
          <w:rFonts w:hint="eastAsia"/>
        </w:rPr>
        <w:t>用电监控设施主要是指针对生态环境管理部门已安装的用电监控设施湖南省生态环境+电力大数据项目开展设备运行维护管理工作，确保设施正常运转和数据稳定上传，通过线上线下结合，定期对采集数据进行巡检与维护。</w:t>
      </w:r>
    </w:p>
    <w:p w14:paraId="06E2F418">
      <w:pPr>
        <w:pStyle w:val="30"/>
      </w:pPr>
      <w:r>
        <w:rPr>
          <w:rFonts w:hint="eastAsia"/>
        </w:rPr>
        <w:t>（1）按省厅要求对各家企业最新情况建档，进一步明晰监测点位分布及明细建档，便于执法检查及企业日常管理；</w:t>
      </w:r>
    </w:p>
    <w:p w14:paraId="28844F67">
      <w:pPr>
        <w:pStyle w:val="30"/>
      </w:pPr>
      <w:r>
        <w:rPr>
          <w:rFonts w:hint="eastAsia"/>
        </w:rPr>
        <w:t>（2）对现场工艺复核，点位运行核实，确保企业无更、改、变造等疑似逃避监管的行为，解决监测终端现场运行的各类问题包括不限于配件更换、电路接并、线路整理；</w:t>
      </w:r>
    </w:p>
    <w:p w14:paraId="01A6B873">
      <w:pPr>
        <w:pStyle w:val="30"/>
      </w:pPr>
      <w:r>
        <w:rPr>
          <w:rFonts w:hint="eastAsia"/>
        </w:rPr>
        <w:t>（3）完成现场运维工作，同步拍照留档，并按区县--市州--全省形成报告一年上交报告；</w:t>
      </w:r>
    </w:p>
    <w:p w14:paraId="54D51D11">
      <w:pPr>
        <w:pStyle w:val="30"/>
      </w:pPr>
      <w:r>
        <w:rPr>
          <w:rFonts w:hint="eastAsia"/>
        </w:rPr>
        <w:t>将现场与平台数据进行一一核对，确保数据传输稳定、精准、科学无误。</w:t>
      </w:r>
    </w:p>
    <w:p w14:paraId="176FAC49">
      <w:pPr>
        <w:pStyle w:val="30"/>
      </w:pPr>
      <w:r>
        <w:rPr>
          <w:rFonts w:hint="eastAsia"/>
        </w:rPr>
        <w:t>（4）配备相应的人力、物力资源（常用工具、通讯设备、交通工具等），专人负责日常维护环保设备和监控设备。</w:t>
      </w:r>
    </w:p>
    <w:p w14:paraId="60725099">
      <w:pPr>
        <w:pStyle w:val="30"/>
      </w:pPr>
      <w:r>
        <w:rPr>
          <w:rFonts w:hint="eastAsia"/>
        </w:rPr>
        <w:t>日常维护主要针对以下几方面：</w:t>
      </w:r>
    </w:p>
    <w:p w14:paraId="3EB33C42">
      <w:pPr>
        <w:pStyle w:val="30"/>
      </w:pPr>
      <w:r>
        <w:rPr>
          <w:rFonts w:hint="eastAsia"/>
        </w:rPr>
        <w:t>（1）检查维护设备及附件；</w:t>
      </w:r>
    </w:p>
    <w:p w14:paraId="42D68CA6">
      <w:pPr>
        <w:pStyle w:val="30"/>
      </w:pPr>
      <w:r>
        <w:rPr>
          <w:rFonts w:hint="eastAsia"/>
        </w:rPr>
        <w:t>（2）设备经长期使用，元件自然老化导致的设备损坏故障维护；</w:t>
      </w:r>
    </w:p>
    <w:p w14:paraId="1D9283D9">
      <w:pPr>
        <w:pStyle w:val="30"/>
      </w:pPr>
      <w:r>
        <w:rPr>
          <w:rFonts w:hint="eastAsia"/>
        </w:rPr>
        <w:t>（3）在运行过程中，由于电压、电流的不稳定，导致的设备损坏故障；</w:t>
      </w:r>
    </w:p>
    <w:p w14:paraId="1B7F4AAD">
      <w:pPr>
        <w:pStyle w:val="30"/>
      </w:pPr>
      <w:r>
        <w:rPr>
          <w:rFonts w:hint="eastAsia"/>
        </w:rPr>
        <w:t>（4）由于线路受损导致的信号传输故障；</w:t>
      </w:r>
    </w:p>
    <w:p w14:paraId="2CE5EAC0">
      <w:pPr>
        <w:pStyle w:val="30"/>
      </w:pPr>
      <w:r>
        <w:rPr>
          <w:rFonts w:hint="eastAsia"/>
        </w:rPr>
        <w:t>（5）由于施工质量或未采取防雷措施等造成的施工质量故障等。</w:t>
      </w:r>
    </w:p>
    <w:p w14:paraId="1D2E1F8C">
      <w:pPr>
        <w:pStyle w:val="30"/>
      </w:pPr>
      <w:r>
        <w:rPr>
          <w:rFonts w:hint="eastAsia"/>
        </w:rPr>
        <w:t>需设立7×24小时客服电话，做到及时响应维护需求，重大事件2小时到现场处理。</w:t>
      </w:r>
    </w:p>
    <w:p w14:paraId="102C1C89">
      <w:pPr>
        <w:pStyle w:val="30"/>
      </w:pPr>
      <w:r>
        <w:t>6</w:t>
      </w:r>
      <w:r>
        <w:rPr>
          <w:rFonts w:hint="eastAsia"/>
        </w:rPr>
        <w:t>、污染源自动监控巡查</w:t>
      </w:r>
    </w:p>
    <w:p w14:paraId="3B68CA9F">
      <w:pPr>
        <w:pStyle w:val="34"/>
      </w:pPr>
      <w:r>
        <w:rPr>
          <w:rFonts w:hint="eastAsia"/>
        </w:rPr>
        <w:t>对污染源自动监控站房、排口、监测仪器、采样管路的规范性进行日常巡检；对排污企业或委托运维公司的运维记录、仪器标定记录、设备校准记录、比对监测记录、故障处理记录、故障上报记录、废液回收记录等进行规范性巡检；对自动监测设备的参数设置进行规范性巡检。通过对自动监测设备的稳定性，运维工作的规范性检查，倒逼运维公司更加自觉规范运维作业，对减少环境污染具有可持续良性影响，并在实施过程中能对企业不断提出改善意见。主要目的是落实企业主体责任。</w:t>
      </w:r>
    </w:p>
    <w:p w14:paraId="4EFF41A1">
      <w:pPr>
        <w:pStyle w:val="34"/>
      </w:pPr>
      <w:r>
        <w:rPr>
          <w:rFonts w:hint="eastAsia"/>
        </w:rPr>
        <w:t>根据《污染源自动监控设施现场监督检查技术指南》，结合湖南省污染源自动监控建设现状，制定现场端巡检服务的流程：</w:t>
      </w:r>
    </w:p>
    <w:p w14:paraId="7397DD65">
      <w:pPr>
        <w:pStyle w:val="34"/>
      </w:pPr>
      <w:r>
        <w:rPr>
          <w:rFonts w:hint="eastAsia"/>
        </w:rPr>
        <w:t>（1）现场巡查准备：包括了解有关情况、收集污染源自动监控设施信息、现场检查需要携带的现场设备、现场巡检人员。</w:t>
      </w:r>
    </w:p>
    <w:p w14:paraId="4F5F99C9">
      <w:pPr>
        <w:pStyle w:val="34"/>
      </w:pPr>
      <w:r>
        <w:rPr>
          <w:rFonts w:hint="eastAsia"/>
        </w:rPr>
        <w:t>（2）例行检查：对现场端进行例行检查，检查内容包括排污口检查、采样点位检查、擅自拆除、闲置、关停自动监控设施情况检查、自动监控设施变更情况检查、资质检查、自动监控设施运行状况检查、企业生产工况、污染自理设施运行与自动监控数据的相关性检查、现场监测等。</w:t>
      </w:r>
    </w:p>
    <w:p w14:paraId="33B5B586">
      <w:pPr>
        <w:pStyle w:val="30"/>
      </w:pPr>
      <w:r>
        <w:rPr>
          <w:rFonts w:hint="eastAsia"/>
        </w:rPr>
        <w:t>（3）对存在问题的进行重点检查并提出相应处理建议。</w:t>
      </w:r>
    </w:p>
    <w:p w14:paraId="2CA94CCE">
      <w:pPr>
        <w:pStyle w:val="30"/>
      </w:pPr>
      <w:r>
        <w:t>7</w:t>
      </w:r>
      <w:r>
        <w:rPr>
          <w:rFonts w:hint="eastAsia"/>
        </w:rPr>
        <w:t>、环保法律援助</w:t>
      </w:r>
    </w:p>
    <w:p w14:paraId="3ACFA281">
      <w:pPr>
        <w:pStyle w:val="30"/>
      </w:pPr>
      <w:r>
        <w:rPr>
          <w:rFonts w:hint="eastAsia"/>
        </w:rPr>
        <w:t>近几年，随着环保工作的越来越重视，许多企业也越来越重视环保投入，环保技术也越来越科学先进、企业的环保法律意识也进一步加强，对环境监管特别是环境执法人员的专业程度提出了更高的要求，需要不断的学习、不断的提高专业知识，在案件执行的过程中公平阳光、依法行使执法权力。通过提供环保法律援助和指导咨询，一方面可以找行业专家、生态环境管理部门执法专家，为企业提供技术指导，包括处理工艺改进、政策培训宣贯、突发事件应急指导、专项事件的报告等；另一方面可以找法律相关的专家为企业提供执法辅导、业务培训以及法律援助等服务，在必要时，为企业提供环保法律诉讼代理服务。</w:t>
      </w:r>
    </w:p>
    <w:p w14:paraId="2C6FC358">
      <w:pPr>
        <w:pStyle w:val="2"/>
      </w:pPr>
      <w:r>
        <w:rPr>
          <w:rFonts w:hint="eastAsia"/>
        </w:rPr>
        <w:t>服务方式及预算</w:t>
      </w:r>
    </w:p>
    <w:p w14:paraId="23F7CFC6">
      <w:pPr>
        <w:pStyle w:val="30"/>
        <w:rPr>
          <w:rFonts w:ascii="Segoe UI" w:hAnsi="Segoe UI" w:cs="Segoe UI"/>
          <w:color w:val="2C2C36"/>
          <w:shd w:val="clear" w:color="auto" w:fill="FFFFFF"/>
        </w:rPr>
      </w:pPr>
      <w:r>
        <w:rPr>
          <w:rFonts w:hint="eastAsia"/>
        </w:rPr>
        <w:t>服务方式以年度服务形式提供，并</w:t>
      </w:r>
      <w:r>
        <w:rPr>
          <w:rFonts w:ascii="Segoe UI" w:hAnsi="Segoe UI" w:cs="Segoe UI"/>
          <w:color w:val="2C2C36"/>
          <w:shd w:val="clear" w:color="auto" w:fill="FFFFFF"/>
        </w:rPr>
        <w:t>组建专业</w:t>
      </w:r>
      <w:r>
        <w:rPr>
          <w:rFonts w:hint="eastAsia" w:ascii="Segoe UI" w:hAnsi="Segoe UI" w:cs="Segoe UI"/>
          <w:color w:val="2C2C36"/>
          <w:shd w:val="clear" w:color="auto" w:fill="FFFFFF"/>
        </w:rPr>
        <w:t>的技术服务</w:t>
      </w:r>
      <w:r>
        <w:rPr>
          <w:rFonts w:ascii="Segoe UI" w:hAnsi="Segoe UI" w:cs="Segoe UI"/>
          <w:color w:val="2C2C36"/>
          <w:shd w:val="clear" w:color="auto" w:fill="FFFFFF"/>
        </w:rPr>
        <w:t>团队，随时提供技术支持。</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3160"/>
        <w:gridCol w:w="2074"/>
        <w:gridCol w:w="2074"/>
      </w:tblGrid>
      <w:tr w14:paraId="3AAB9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E812A5D">
            <w:pPr>
              <w:pStyle w:val="30"/>
              <w:ind w:firstLine="0" w:firstLineChars="0"/>
            </w:pPr>
            <w:r>
              <w:rPr>
                <w:rFonts w:hint="eastAsia"/>
              </w:rPr>
              <w:t>序号</w:t>
            </w:r>
          </w:p>
        </w:tc>
        <w:tc>
          <w:tcPr>
            <w:tcW w:w="3160" w:type="dxa"/>
          </w:tcPr>
          <w:p w14:paraId="0B356FDD">
            <w:pPr>
              <w:pStyle w:val="30"/>
              <w:ind w:firstLine="0" w:firstLineChars="0"/>
            </w:pPr>
            <w:r>
              <w:rPr>
                <w:rFonts w:hint="eastAsia"/>
              </w:rPr>
              <w:t>服务内容</w:t>
            </w:r>
          </w:p>
        </w:tc>
        <w:tc>
          <w:tcPr>
            <w:tcW w:w="2074" w:type="dxa"/>
          </w:tcPr>
          <w:p w14:paraId="4054E1DD">
            <w:pPr>
              <w:pStyle w:val="30"/>
              <w:ind w:firstLine="0" w:firstLineChars="0"/>
            </w:pPr>
            <w:r>
              <w:rPr>
                <w:rFonts w:hint="eastAsia"/>
              </w:rPr>
              <w:t>服务方式及频次</w:t>
            </w:r>
          </w:p>
        </w:tc>
        <w:tc>
          <w:tcPr>
            <w:tcW w:w="2074" w:type="dxa"/>
          </w:tcPr>
          <w:p w14:paraId="2AD4E480">
            <w:pPr>
              <w:pStyle w:val="30"/>
              <w:ind w:firstLine="0" w:firstLineChars="0"/>
            </w:pPr>
            <w:r>
              <w:rPr>
                <w:rFonts w:hint="eastAsia"/>
              </w:rPr>
              <w:t>服务费用</w:t>
            </w:r>
          </w:p>
        </w:tc>
      </w:tr>
      <w:tr w14:paraId="248C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351CAD3">
            <w:pPr>
              <w:pStyle w:val="30"/>
              <w:ind w:firstLine="0" w:firstLineChars="0"/>
            </w:pPr>
            <w:r>
              <w:rPr>
                <w:rFonts w:hint="eastAsia"/>
              </w:rPr>
              <w:t>1</w:t>
            </w:r>
          </w:p>
        </w:tc>
        <w:tc>
          <w:tcPr>
            <w:tcW w:w="3160" w:type="dxa"/>
          </w:tcPr>
          <w:p w14:paraId="36371094">
            <w:pPr>
              <w:pStyle w:val="30"/>
              <w:ind w:firstLine="0" w:firstLineChars="0"/>
            </w:pPr>
            <w:r>
              <w:rPr>
                <w:rFonts w:hint="eastAsia"/>
              </w:rPr>
              <w:t>企业环境隐患排查</w:t>
            </w:r>
          </w:p>
        </w:tc>
        <w:tc>
          <w:tcPr>
            <w:tcW w:w="2074" w:type="dxa"/>
          </w:tcPr>
          <w:p w14:paraId="3EC06E82">
            <w:pPr>
              <w:pStyle w:val="30"/>
              <w:ind w:firstLine="0" w:firstLineChars="0"/>
            </w:pPr>
            <w:r>
              <w:rPr>
                <w:rFonts w:hint="eastAsia"/>
              </w:rPr>
              <w:t>每季度1次</w:t>
            </w:r>
          </w:p>
        </w:tc>
        <w:tc>
          <w:tcPr>
            <w:tcW w:w="2074" w:type="dxa"/>
          </w:tcPr>
          <w:p w14:paraId="3DDC1282">
            <w:pPr>
              <w:pStyle w:val="30"/>
              <w:ind w:firstLine="0" w:firstLineChars="0"/>
            </w:pPr>
          </w:p>
        </w:tc>
      </w:tr>
      <w:tr w14:paraId="5574F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884E057">
            <w:pPr>
              <w:pStyle w:val="30"/>
              <w:ind w:firstLine="0" w:firstLineChars="0"/>
            </w:pPr>
            <w:r>
              <w:rPr>
                <w:rFonts w:hint="eastAsia"/>
              </w:rPr>
              <w:t>2</w:t>
            </w:r>
          </w:p>
        </w:tc>
        <w:tc>
          <w:tcPr>
            <w:tcW w:w="3160" w:type="dxa"/>
          </w:tcPr>
          <w:p w14:paraId="1F21AE7C">
            <w:pPr>
              <w:pStyle w:val="30"/>
              <w:ind w:firstLine="0" w:firstLineChars="0"/>
            </w:pPr>
            <w:r>
              <w:rPr>
                <w:rFonts w:hint="eastAsia"/>
              </w:rPr>
              <w:t>应急预案制定</w:t>
            </w:r>
          </w:p>
        </w:tc>
        <w:tc>
          <w:tcPr>
            <w:tcW w:w="2074" w:type="dxa"/>
          </w:tcPr>
          <w:p w14:paraId="30721B53">
            <w:pPr>
              <w:pStyle w:val="30"/>
              <w:ind w:firstLine="0" w:firstLineChars="0"/>
            </w:pPr>
            <w:r>
              <w:rPr>
                <w:rFonts w:hint="eastAsia"/>
              </w:rPr>
              <w:t>每年/半年1次</w:t>
            </w:r>
          </w:p>
        </w:tc>
        <w:tc>
          <w:tcPr>
            <w:tcW w:w="2074" w:type="dxa"/>
          </w:tcPr>
          <w:p w14:paraId="194DDE02">
            <w:pPr>
              <w:pStyle w:val="30"/>
              <w:ind w:firstLine="0" w:firstLineChars="0"/>
            </w:pPr>
          </w:p>
        </w:tc>
      </w:tr>
      <w:tr w14:paraId="3CE3E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BC934A9">
            <w:pPr>
              <w:pStyle w:val="30"/>
              <w:ind w:firstLine="0" w:firstLineChars="0"/>
            </w:pPr>
            <w:r>
              <w:rPr>
                <w:rFonts w:hint="eastAsia"/>
              </w:rPr>
              <w:t>3</w:t>
            </w:r>
          </w:p>
        </w:tc>
        <w:tc>
          <w:tcPr>
            <w:tcW w:w="3160" w:type="dxa"/>
          </w:tcPr>
          <w:p w14:paraId="3CAADBA2">
            <w:pPr>
              <w:pStyle w:val="30"/>
              <w:ind w:firstLine="0" w:firstLineChars="0"/>
            </w:pPr>
            <w:r>
              <w:rPr>
                <w:rFonts w:hint="eastAsia"/>
              </w:rPr>
              <w:t>排污许可申报</w:t>
            </w:r>
          </w:p>
        </w:tc>
        <w:tc>
          <w:tcPr>
            <w:tcW w:w="2074" w:type="dxa"/>
          </w:tcPr>
          <w:p w14:paraId="5BAC275B">
            <w:pPr>
              <w:pStyle w:val="30"/>
              <w:ind w:firstLine="0" w:firstLineChars="0"/>
            </w:pPr>
            <w:r>
              <w:rPr>
                <w:rFonts w:hint="eastAsia"/>
              </w:rPr>
              <w:t>每季度1次</w:t>
            </w:r>
          </w:p>
        </w:tc>
        <w:tc>
          <w:tcPr>
            <w:tcW w:w="2074" w:type="dxa"/>
          </w:tcPr>
          <w:p w14:paraId="2E7B9BC1">
            <w:pPr>
              <w:pStyle w:val="30"/>
              <w:ind w:firstLine="0" w:firstLineChars="0"/>
            </w:pPr>
          </w:p>
        </w:tc>
      </w:tr>
      <w:tr w14:paraId="59C9F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89300BF">
            <w:pPr>
              <w:pStyle w:val="30"/>
              <w:ind w:firstLine="0" w:firstLineChars="0"/>
            </w:pPr>
            <w:r>
              <w:rPr>
                <w:rFonts w:hint="eastAsia"/>
              </w:rPr>
              <w:t>4</w:t>
            </w:r>
          </w:p>
        </w:tc>
        <w:tc>
          <w:tcPr>
            <w:tcW w:w="3160" w:type="dxa"/>
          </w:tcPr>
          <w:p w14:paraId="04546805">
            <w:pPr>
              <w:pStyle w:val="30"/>
              <w:ind w:firstLine="0" w:firstLineChars="0"/>
            </w:pPr>
            <w:r>
              <w:rPr>
                <w:rFonts w:hint="eastAsia"/>
              </w:rPr>
              <w:t>竣工环保验收</w:t>
            </w:r>
          </w:p>
        </w:tc>
        <w:tc>
          <w:tcPr>
            <w:tcW w:w="2074" w:type="dxa"/>
          </w:tcPr>
          <w:p w14:paraId="7500D386">
            <w:pPr>
              <w:pStyle w:val="30"/>
              <w:ind w:firstLine="0" w:firstLineChars="0"/>
            </w:pPr>
            <w:r>
              <w:rPr>
                <w:rFonts w:hint="eastAsia"/>
              </w:rPr>
              <w:t>全年</w:t>
            </w:r>
          </w:p>
        </w:tc>
        <w:tc>
          <w:tcPr>
            <w:tcW w:w="2074" w:type="dxa"/>
          </w:tcPr>
          <w:p w14:paraId="0A850E48">
            <w:pPr>
              <w:pStyle w:val="30"/>
              <w:ind w:firstLine="0" w:firstLineChars="0"/>
            </w:pPr>
          </w:p>
        </w:tc>
      </w:tr>
      <w:tr w14:paraId="4A72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82776EF">
            <w:pPr>
              <w:pStyle w:val="30"/>
              <w:ind w:firstLine="0" w:firstLineChars="0"/>
            </w:pPr>
            <w:r>
              <w:rPr>
                <w:rFonts w:hint="eastAsia"/>
              </w:rPr>
              <w:t>5</w:t>
            </w:r>
          </w:p>
        </w:tc>
        <w:tc>
          <w:tcPr>
            <w:tcW w:w="3160" w:type="dxa"/>
          </w:tcPr>
          <w:p w14:paraId="53D47B35">
            <w:pPr>
              <w:pStyle w:val="30"/>
              <w:ind w:firstLine="0" w:firstLineChars="0"/>
            </w:pPr>
            <w:r>
              <w:rPr>
                <w:rFonts w:hint="eastAsia"/>
              </w:rPr>
              <w:t>用电监控设施运维</w:t>
            </w:r>
          </w:p>
        </w:tc>
        <w:tc>
          <w:tcPr>
            <w:tcW w:w="2074" w:type="dxa"/>
          </w:tcPr>
          <w:p w14:paraId="3D127E9D">
            <w:pPr>
              <w:pStyle w:val="30"/>
              <w:ind w:firstLine="0" w:firstLineChars="0"/>
              <w:rPr>
                <w:rFonts w:hint="default" w:eastAsia="宋体"/>
                <w:lang w:val="en-US" w:eastAsia="zh-CN"/>
              </w:rPr>
            </w:pPr>
            <w:r>
              <w:rPr>
                <w:rFonts w:hint="eastAsia"/>
              </w:rPr>
              <w:t>根据已安装设施数量定</w:t>
            </w:r>
            <w:r>
              <w:rPr>
                <w:rFonts w:hint="eastAsia"/>
                <w:lang w:val="en-US" w:eastAsia="zh-CN"/>
              </w:rPr>
              <w:t>每个点位</w:t>
            </w:r>
          </w:p>
        </w:tc>
        <w:tc>
          <w:tcPr>
            <w:tcW w:w="2074" w:type="dxa"/>
          </w:tcPr>
          <w:p w14:paraId="6C1C609D">
            <w:pPr>
              <w:pStyle w:val="30"/>
              <w:ind w:firstLine="0" w:firstLineChars="0"/>
              <w:rPr>
                <w:rFonts w:hint="default" w:eastAsia="宋体"/>
                <w:lang w:val="en-US" w:eastAsia="zh-CN"/>
              </w:rPr>
            </w:pPr>
            <w:r>
              <w:rPr>
                <w:rFonts w:hint="eastAsia"/>
                <w:lang w:val="en-US" w:eastAsia="zh-CN"/>
              </w:rPr>
              <w:t>260元/每年</w:t>
            </w:r>
          </w:p>
        </w:tc>
      </w:tr>
      <w:tr w14:paraId="6856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51FCAC6">
            <w:pPr>
              <w:pStyle w:val="30"/>
              <w:ind w:firstLine="0" w:firstLineChars="0"/>
            </w:pPr>
            <w:r>
              <w:rPr>
                <w:rFonts w:hint="eastAsia"/>
              </w:rPr>
              <w:t>6</w:t>
            </w:r>
          </w:p>
        </w:tc>
        <w:tc>
          <w:tcPr>
            <w:tcW w:w="3160" w:type="dxa"/>
          </w:tcPr>
          <w:p w14:paraId="07E7B374">
            <w:pPr>
              <w:pStyle w:val="30"/>
              <w:ind w:firstLine="0" w:firstLineChars="0"/>
              <w:rPr>
                <w:rFonts w:hint="eastAsia" w:eastAsia="宋体"/>
                <w:lang w:val="en-US" w:eastAsia="zh-CN"/>
              </w:rPr>
            </w:pPr>
            <w:r>
              <w:rPr>
                <w:rFonts w:hint="eastAsia"/>
              </w:rPr>
              <w:t>污染源自动监控</w:t>
            </w:r>
            <w:r>
              <w:rPr>
                <w:rFonts w:hint="eastAsia"/>
                <w:lang w:val="en-US" w:eastAsia="zh-CN"/>
              </w:rPr>
              <w:t>自</w:t>
            </w:r>
            <w:r>
              <w:rPr>
                <w:rFonts w:hint="eastAsia"/>
              </w:rPr>
              <w:t>巡查</w:t>
            </w:r>
            <w:r>
              <w:rPr>
                <w:rFonts w:hint="eastAsia"/>
                <w:lang w:val="en-US" w:eastAsia="zh-CN"/>
              </w:rPr>
              <w:t>服务</w:t>
            </w:r>
          </w:p>
        </w:tc>
        <w:tc>
          <w:tcPr>
            <w:tcW w:w="2074" w:type="dxa"/>
          </w:tcPr>
          <w:p w14:paraId="56E17D99">
            <w:pPr>
              <w:pStyle w:val="30"/>
              <w:ind w:firstLine="0" w:firstLineChars="0"/>
            </w:pPr>
            <w:r>
              <w:rPr>
                <w:rFonts w:hint="eastAsia"/>
              </w:rPr>
              <w:t>每月1次</w:t>
            </w:r>
          </w:p>
        </w:tc>
        <w:tc>
          <w:tcPr>
            <w:tcW w:w="2074" w:type="dxa"/>
          </w:tcPr>
          <w:p w14:paraId="6894C6E8">
            <w:pPr>
              <w:pStyle w:val="30"/>
              <w:ind w:firstLine="0" w:firstLineChars="0"/>
            </w:pPr>
          </w:p>
        </w:tc>
      </w:tr>
      <w:tr w14:paraId="0FB9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21B4605">
            <w:pPr>
              <w:pStyle w:val="30"/>
              <w:ind w:firstLine="0" w:firstLineChars="0"/>
            </w:pPr>
            <w:r>
              <w:rPr>
                <w:rFonts w:hint="eastAsia"/>
              </w:rPr>
              <w:t>7</w:t>
            </w:r>
          </w:p>
        </w:tc>
        <w:tc>
          <w:tcPr>
            <w:tcW w:w="3160" w:type="dxa"/>
          </w:tcPr>
          <w:p w14:paraId="3FC5B685">
            <w:pPr>
              <w:pStyle w:val="30"/>
              <w:ind w:firstLine="0" w:firstLineChars="0"/>
            </w:pPr>
            <w:r>
              <w:rPr>
                <w:rFonts w:hint="eastAsia"/>
              </w:rPr>
              <w:t>环保法律援助</w:t>
            </w:r>
          </w:p>
        </w:tc>
        <w:tc>
          <w:tcPr>
            <w:tcW w:w="2074" w:type="dxa"/>
          </w:tcPr>
          <w:p w14:paraId="4DF1E392">
            <w:pPr>
              <w:pStyle w:val="30"/>
              <w:ind w:firstLine="0" w:firstLineChars="0"/>
            </w:pPr>
            <w:r>
              <w:rPr>
                <w:rFonts w:hint="eastAsia"/>
              </w:rPr>
              <w:t>全年</w:t>
            </w:r>
          </w:p>
        </w:tc>
        <w:tc>
          <w:tcPr>
            <w:tcW w:w="2074" w:type="dxa"/>
          </w:tcPr>
          <w:p w14:paraId="4398C2F1">
            <w:pPr>
              <w:pStyle w:val="30"/>
              <w:ind w:firstLine="0" w:firstLineChars="0"/>
            </w:pPr>
          </w:p>
        </w:tc>
      </w:tr>
      <w:tr w14:paraId="4FD3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9A8188E">
            <w:pPr>
              <w:pStyle w:val="30"/>
              <w:ind w:firstLine="0" w:firstLineChars="0"/>
            </w:pPr>
          </w:p>
        </w:tc>
        <w:tc>
          <w:tcPr>
            <w:tcW w:w="3160" w:type="dxa"/>
          </w:tcPr>
          <w:p w14:paraId="2E887F1F">
            <w:pPr>
              <w:pStyle w:val="30"/>
              <w:ind w:firstLine="0" w:firstLineChars="0"/>
            </w:pPr>
          </w:p>
        </w:tc>
        <w:tc>
          <w:tcPr>
            <w:tcW w:w="2074" w:type="dxa"/>
          </w:tcPr>
          <w:p w14:paraId="79CD6CA4">
            <w:pPr>
              <w:pStyle w:val="30"/>
              <w:ind w:firstLine="0" w:firstLineChars="0"/>
            </w:pPr>
          </w:p>
        </w:tc>
        <w:tc>
          <w:tcPr>
            <w:tcW w:w="2074" w:type="dxa"/>
          </w:tcPr>
          <w:p w14:paraId="62636DC8">
            <w:pPr>
              <w:pStyle w:val="30"/>
              <w:ind w:firstLine="0" w:firstLineChars="0"/>
            </w:pPr>
          </w:p>
        </w:tc>
      </w:tr>
    </w:tbl>
    <w:p w14:paraId="56D3E23C">
      <w:pPr>
        <w:pStyle w:val="30"/>
        <w:ind w:firstLine="0" w:firstLineChars="0"/>
      </w:pPr>
    </w:p>
    <w:p w14:paraId="6737EF76">
      <w:pPr>
        <w:pStyle w:val="2"/>
      </w:pPr>
      <w:r>
        <w:rPr>
          <w:rFonts w:hint="eastAsia"/>
        </w:rPr>
        <w:t>公司介绍</w:t>
      </w:r>
    </w:p>
    <w:p w14:paraId="3DA0EB0B">
      <w:pPr>
        <w:pStyle w:val="30"/>
        <w:numPr>
          <w:ilvl w:val="0"/>
          <w:numId w:val="2"/>
        </w:numPr>
        <w:rPr>
          <w:rFonts w:hint="eastAsia"/>
        </w:rPr>
      </w:pPr>
      <w:r>
        <w:rPr>
          <w:rFonts w:hint="eastAsia"/>
        </w:rPr>
        <w:t>湖南</w:t>
      </w:r>
      <w:r>
        <w:rPr>
          <w:rFonts w:hint="eastAsia"/>
          <w:lang w:val="en-US" w:eastAsia="zh-CN"/>
        </w:rPr>
        <w:t>深</w:t>
      </w:r>
      <w:r>
        <w:rPr>
          <w:rFonts w:hint="eastAsia"/>
        </w:rPr>
        <w:t>环科技有限公司于</w:t>
      </w:r>
      <w:r>
        <w:rPr>
          <w:rFonts w:hint="eastAsia"/>
          <w:lang w:val="en-US" w:eastAsia="zh-CN"/>
        </w:rPr>
        <w:t>2021</w:t>
      </w:r>
      <w:r>
        <w:rPr>
          <w:rFonts w:hint="eastAsia"/>
        </w:rPr>
        <w:t>年成立</w:t>
      </w:r>
      <w:r>
        <w:rPr>
          <w:rFonts w:hint="eastAsia"/>
          <w:lang w:eastAsia="zh-CN"/>
        </w:rPr>
        <w:t>。</w:t>
      </w:r>
      <w:r>
        <w:rPr>
          <w:rFonts w:hint="eastAsia"/>
        </w:rPr>
        <w:t>近年来，一直秉持专注于生态环境科技环保应用，是一家集环境质量改善及专家咨询服务、生态环境大数据、污染防治、环保研究、服务、软件为一体的创新型科技企业，致力于成为生态环境人工智能（AI）综合解决方案提供商。</w:t>
      </w:r>
    </w:p>
    <w:p w14:paraId="7F0FC6AA">
      <w:pPr>
        <w:pStyle w:val="30"/>
        <w:numPr>
          <w:ilvl w:val="0"/>
          <w:numId w:val="2"/>
        </w:numPr>
        <w:rPr>
          <w:rFonts w:hint="default"/>
          <w:lang w:val="en-US" w:eastAsia="zh-CN"/>
        </w:rPr>
      </w:pPr>
      <w:r>
        <w:rPr>
          <w:rFonts w:hint="eastAsia"/>
          <w:lang w:val="en-US" w:eastAsia="zh-CN"/>
        </w:rPr>
        <w:t>公司涉及：相关智能化技术研发；应用软件开发；基础软件开发；公交高新技术信息网络开发；计算机应用电子设备销售；计算机外围设备销售；通用仪器仪表销售；电器机械及器材销售；环保设备销售；环保工程配套系列产品安装；环保工程配套系列产品维护；环保工程配套系列产品销售；环保工程配套系列产品研发；环保工程配套系列产品维修；基于位置的信息系统集成；基于位置的信息系统施工；计算机网络平台的开发及建设；软件开发系统集成服务；计算机数据处理；水污染治理；电气设备系统集成；网络集成系统开发建设；网络集成系统运行维护服务；室内分布系统开发建设；室内分布系统运行维护服务；信息技术咨询服务；智能电网技术咨询；软件技术服务；信息系统集成服务；太阳能光伏电站系统集成；互联网信息技术咨询；互联网科技技术咨询；通信基站技术咨询；信息科技技术咨询；移动互联网研发和维护；物联网技术研发；通讯产品研发；通信产品研发等相关资质</w:t>
      </w:r>
      <w:bookmarkStart w:id="1" w:name="_GoBack"/>
      <w:bookmarkEnd w:id="1"/>
      <w:r>
        <w:rPr>
          <w:rFonts w:hint="eastAsia"/>
          <w:lang w:val="en-US" w:eastAsia="zh-CN"/>
        </w:rPr>
        <w:t>工作。</w:t>
      </w:r>
    </w:p>
    <w:p w14:paraId="692D55E5">
      <w:pPr>
        <w:pStyle w:val="30"/>
        <w:numPr>
          <w:numId w:val="0"/>
        </w:numPr>
        <w:rPr>
          <w:rFonts w:hint="eastAsia"/>
          <w:lang w:val="en-US" w:eastAsia="zh-CN"/>
        </w:rPr>
      </w:pPr>
    </w:p>
    <w:p w14:paraId="13532799">
      <w:pPr>
        <w:pStyle w:val="30"/>
        <w:numPr>
          <w:numId w:val="0"/>
        </w:numPr>
        <w:rPr>
          <w:rFonts w:hint="eastAsia"/>
          <w:lang w:val="en-US" w:eastAsia="zh-CN"/>
        </w:rPr>
      </w:pPr>
    </w:p>
    <w:p w14:paraId="48FF378E">
      <w:pPr>
        <w:pStyle w:val="30"/>
        <w:numPr>
          <w:numId w:val="0"/>
        </w:numPr>
        <w:rPr>
          <w:rFonts w:hint="eastAsia"/>
          <w:lang w:val="en-US" w:eastAsia="zh-CN"/>
        </w:rPr>
      </w:pPr>
    </w:p>
    <w:p w14:paraId="26703976">
      <w:pPr>
        <w:pStyle w:val="2"/>
        <w:numPr>
          <w:numId w:val="0"/>
        </w:numPr>
        <w:ind w:leftChars="0"/>
        <w:rPr>
          <w:rFonts w:hint="default"/>
          <w:lang w:val="en-US" w:eastAsia="zh-CN"/>
        </w:rPr>
      </w:pPr>
      <w:r>
        <w:rPr>
          <w:rFonts w:hint="eastAsia"/>
          <w:lang w:val="en-US" w:eastAsia="zh-CN"/>
        </w:rPr>
        <w:t>五、营业执照、人员资质</w:t>
      </w:r>
    </w:p>
    <w:p w14:paraId="0A2E6FC3">
      <w:pPr>
        <w:spacing w:line="291" w:lineRule="auto"/>
        <w:rPr>
          <w:rFonts w:hint="default" w:ascii="仿宋" w:hAnsi="仿宋" w:eastAsia="仿宋" w:cs="仿宋"/>
          <w:lang w:val="en-US" w:eastAsia="zh-CN"/>
        </w:rPr>
      </w:pPr>
      <w:r>
        <w:rPr>
          <w:rFonts w:hint="default" w:ascii="仿宋" w:hAnsi="仿宋" w:eastAsia="仿宋" w:cs="仿宋"/>
          <w:lang w:val="en-US" w:eastAsia="zh-CN"/>
        </w:rPr>
        <w:drawing>
          <wp:inline distT="0" distB="0" distL="114300" distR="114300">
            <wp:extent cx="4675505" cy="6480175"/>
            <wp:effectExtent l="0" t="0" r="3175" b="12065"/>
            <wp:docPr id="1" name="图片 1" descr="45487271194649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54872711946492857"/>
                    <pic:cNvPicPr>
                      <a:picLocks noChangeAspect="1"/>
                    </pic:cNvPicPr>
                  </pic:nvPicPr>
                  <pic:blipFill>
                    <a:blip r:embed="rId6"/>
                    <a:stretch>
                      <a:fillRect/>
                    </a:stretch>
                  </pic:blipFill>
                  <pic:spPr>
                    <a:xfrm>
                      <a:off x="0" y="0"/>
                      <a:ext cx="4675505" cy="6480175"/>
                    </a:xfrm>
                    <a:prstGeom prst="rect">
                      <a:avLst/>
                    </a:prstGeom>
                    <a:noFill/>
                    <a:ln>
                      <a:noFill/>
                    </a:ln>
                  </pic:spPr>
                </pic:pic>
              </a:graphicData>
            </a:graphic>
          </wp:inline>
        </w:drawing>
      </w:r>
    </w:p>
    <w:p w14:paraId="5B029C67">
      <w:pPr>
        <w:spacing w:line="291" w:lineRule="auto"/>
        <w:rPr>
          <w:rFonts w:hint="default" w:ascii="仿宋" w:hAnsi="仿宋" w:eastAsia="仿宋" w:cs="仿宋"/>
          <w:lang w:val="en-US" w:eastAsia="zh-CN"/>
        </w:rPr>
      </w:pPr>
    </w:p>
    <w:p w14:paraId="5EADE979">
      <w:pPr>
        <w:spacing w:line="291" w:lineRule="auto"/>
        <w:rPr>
          <w:rFonts w:hint="default" w:ascii="仿宋" w:hAnsi="仿宋" w:eastAsia="仿宋" w:cs="仿宋"/>
          <w:lang w:val="en-US" w:eastAsia="zh-CN"/>
        </w:rPr>
      </w:pPr>
    </w:p>
    <w:p w14:paraId="47F77686">
      <w:pPr>
        <w:spacing w:line="291" w:lineRule="auto"/>
        <w:rPr>
          <w:rFonts w:hint="default" w:ascii="仿宋" w:hAnsi="仿宋" w:eastAsia="仿宋" w:cs="仿宋"/>
          <w:lang w:val="en-US" w:eastAsia="zh-CN"/>
        </w:rPr>
      </w:pPr>
      <w:r>
        <w:rPr>
          <w:rFonts w:hint="eastAsia" w:eastAsia="宋体"/>
          <w:lang w:eastAsia="zh-CN"/>
        </w:rPr>
        <w:drawing>
          <wp:inline distT="0" distB="0" distL="114300" distR="114300">
            <wp:extent cx="4671060" cy="6480175"/>
            <wp:effectExtent l="0" t="0" r="7620" b="12065"/>
            <wp:docPr id="2" name="图片 2" descr="自动监控废水运维证书-崔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自动监控废水运维证书-崔浩"/>
                    <pic:cNvPicPr>
                      <a:picLocks noChangeAspect="1"/>
                    </pic:cNvPicPr>
                  </pic:nvPicPr>
                  <pic:blipFill>
                    <a:blip r:embed="rId7"/>
                    <a:stretch>
                      <a:fillRect/>
                    </a:stretch>
                  </pic:blipFill>
                  <pic:spPr>
                    <a:xfrm>
                      <a:off x="0" y="0"/>
                      <a:ext cx="4671060" cy="6480175"/>
                    </a:xfrm>
                    <a:prstGeom prst="rect">
                      <a:avLst/>
                    </a:prstGeom>
                    <a:noFill/>
                    <a:ln>
                      <a:noFill/>
                    </a:ln>
                  </pic:spPr>
                </pic:pic>
              </a:graphicData>
            </a:graphic>
          </wp:inline>
        </w:drawing>
      </w:r>
      <w:r>
        <w:rPr>
          <w:rFonts w:hint="eastAsia" w:eastAsia="宋体"/>
          <w:lang w:eastAsia="zh-CN"/>
        </w:rPr>
        <w:drawing>
          <wp:inline distT="0" distB="0" distL="114300" distR="114300">
            <wp:extent cx="4671060" cy="6480175"/>
            <wp:effectExtent l="0" t="0" r="7620" b="12065"/>
            <wp:docPr id="3" name="图片 3" descr="自动监控烟气运维证书-崔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自动监控烟气运维证书-崔浩"/>
                    <pic:cNvPicPr>
                      <a:picLocks noChangeAspect="1"/>
                    </pic:cNvPicPr>
                  </pic:nvPicPr>
                  <pic:blipFill>
                    <a:blip r:embed="rId8"/>
                    <a:stretch>
                      <a:fillRect/>
                    </a:stretch>
                  </pic:blipFill>
                  <pic:spPr>
                    <a:xfrm>
                      <a:off x="0" y="0"/>
                      <a:ext cx="4671060" cy="6480175"/>
                    </a:xfrm>
                    <a:prstGeom prst="rect">
                      <a:avLst/>
                    </a:prstGeom>
                    <a:noFill/>
                    <a:ln>
                      <a:noFill/>
                    </a:ln>
                  </pic:spPr>
                </pic:pic>
              </a:graphicData>
            </a:graphic>
          </wp:inline>
        </w:drawing>
      </w:r>
      <w:r>
        <w:drawing>
          <wp:inline distT="0" distB="0" distL="114300" distR="114300">
            <wp:extent cx="5436870" cy="3959860"/>
            <wp:effectExtent l="0" t="0" r="381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436870" cy="3959860"/>
                    </a:xfrm>
                    <a:prstGeom prst="rect">
                      <a:avLst/>
                    </a:prstGeom>
                    <a:noFill/>
                    <a:ln>
                      <a:noFill/>
                    </a:ln>
                  </pic:spPr>
                </pic:pic>
              </a:graphicData>
            </a:graphic>
          </wp:inline>
        </w:drawing>
      </w:r>
      <w:r>
        <w:drawing>
          <wp:inline distT="0" distB="0" distL="114300" distR="114300">
            <wp:extent cx="5771515" cy="3599815"/>
            <wp:effectExtent l="0" t="0" r="444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771515" cy="3599815"/>
                    </a:xfrm>
                    <a:prstGeom prst="rect">
                      <a:avLst/>
                    </a:prstGeom>
                    <a:noFill/>
                    <a:ln>
                      <a:noFill/>
                    </a:ln>
                  </pic:spPr>
                </pic:pic>
              </a:graphicData>
            </a:graphic>
          </wp:inline>
        </w:drawing>
      </w:r>
    </w:p>
    <w:p w14:paraId="15AAA01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SimSun,Bold"/>
          <w:bCs/>
          <w:kern w:val="0"/>
          <w:sz w:val="24"/>
          <w:szCs w:val="24"/>
          <w:lang w:val="en-US" w:eastAsia="zh-CN" w:bidi="ar-SA"/>
          <w14:ligatures w14:val="none"/>
        </w:rPr>
      </w:pPr>
    </w:p>
    <w:p w14:paraId="08961B3E">
      <w:pPr>
        <w:pStyle w:val="30"/>
        <w:rPr>
          <w:rFonts w:hint="eastAsia" w:eastAsia="宋体"/>
          <w:lang w:val="en-US" w:eastAsia="zh-CN"/>
        </w:rPr>
      </w:pPr>
    </w:p>
    <w:sectPr>
      <w:headerReference r:id="rId3" w:type="default"/>
      <w:footerReference r:id="rId4" w:type="default"/>
      <w:pgSz w:w="11906" w:h="16838"/>
      <w:pgMar w:top="1440" w:right="1800" w:bottom="1440" w:left="1800" w:header="567"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SimSun,Bold">
    <w:altName w:val="宋体"/>
    <w:panose1 w:val="00000000000000000000"/>
    <w:charset w:val="86"/>
    <w:family w:val="auto"/>
    <w:pitch w:val="default"/>
    <w:sig w:usb0="00000000" w:usb1="00000000" w:usb2="00000010" w:usb3="00000000" w:csb0="00040000"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7A"/>
    <w:family w:val="modern"/>
    <w:pitch w:val="default"/>
    <w:sig w:usb0="800002BF" w:usb1="38CF7CFA" w:usb2="00000016" w:usb3="00000000" w:csb0="00040001" w:csb1="00000000"/>
  </w:font>
  <w:font w:name="方正仿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EBD44">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19C50A">
                          <w:pPr>
                            <w:pStyle w:val="13"/>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2819C50A">
                    <w:pPr>
                      <w:pStyle w:val="13"/>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2B826">
    <w:pPr>
      <w:pStyle w:val="14"/>
      <w:pBdr>
        <w:bottom w:val="single" w:color="auto" w:sz="4" w:space="1"/>
      </w:pBdr>
      <w:jc w:val="both"/>
      <w:rPr>
        <w:rFonts w:hint="eastAsia"/>
        <w:lang w:val="en-US" w:eastAsia="zh-CN"/>
      </w:rPr>
    </w:pPr>
    <w:r>
      <w:rPr>
        <w:rFonts w:hint="eastAsia"/>
        <w:lang w:val="en-US" w:eastAsia="zh-CN"/>
      </w:rPr>
      <w:t xml:space="preserve">  </w:t>
    </w:r>
  </w:p>
  <w:p w14:paraId="190AA265">
    <w:pPr>
      <w:pStyle w:val="14"/>
      <w:pBdr>
        <w:bottom w:val="single" w:color="auto" w:sz="4" w:space="1"/>
      </w:pBdr>
      <w:ind w:firstLine="540" w:firstLineChars="300"/>
      <w:jc w:val="both"/>
      <w:rPr>
        <w:rFonts w:hint="default" w:eastAsia="宋体"/>
        <w:lang w:val="en-US" w:eastAsia="zh-CN"/>
      </w:rPr>
    </w:pPr>
    <w:r>
      <w:rPr>
        <w:rFonts w:hint="eastAsia"/>
        <w:lang w:val="en-US" w:eastAsia="zh-CN"/>
      </w:rPr>
      <w:t xml:space="preserve">                                   </w:t>
    </w:r>
    <w:r>
      <w:rPr>
        <w:rFonts w:hint="eastAsia" w:ascii="方正仿宋_GBK" w:hAnsi="方正仿宋_GBK" w:eastAsia="方正仿宋_GBK" w:cs="方正仿宋_GBK"/>
        <w:b/>
        <w:bCs/>
        <w:sz w:val="21"/>
        <w:szCs w:val="21"/>
        <w:lang w:val="en-US" w:eastAsia="zh-CN"/>
      </w:rPr>
      <w:t xml:space="preserve">湖南深环科技有限公司  </w:t>
    </w:r>
    <w:r>
      <w:drawing>
        <wp:inline distT="0" distB="0" distL="114300" distR="114300">
          <wp:extent cx="1392555" cy="304165"/>
          <wp:effectExtent l="0" t="0" r="9525" b="63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
                  <a:stretch>
                    <a:fillRect/>
                  </a:stretch>
                </pic:blipFill>
                <pic:spPr>
                  <a:xfrm>
                    <a:off x="0" y="0"/>
                    <a:ext cx="1392555" cy="3041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C79637"/>
    <w:multiLevelType w:val="singleLevel"/>
    <w:tmpl w:val="E0C79637"/>
    <w:lvl w:ilvl="0" w:tentative="0">
      <w:start w:val="1"/>
      <w:numFmt w:val="decimal"/>
      <w:suff w:val="nothing"/>
      <w:lvlText w:val="%1、"/>
      <w:lvlJc w:val="left"/>
    </w:lvl>
  </w:abstractNum>
  <w:abstractNum w:abstractNumId="1">
    <w:nsid w:val="5F411CD3"/>
    <w:multiLevelType w:val="multilevel"/>
    <w:tmpl w:val="5F411CD3"/>
    <w:lvl w:ilvl="0" w:tentative="0">
      <w:start w:val="1"/>
      <w:numFmt w:val="ideographDigital"/>
      <w:pStyle w:val="2"/>
      <w:lvlText w:val="%1、"/>
      <w:lvlJc w:val="left"/>
      <w:pPr>
        <w:ind w:left="0" w:firstLine="0"/>
      </w:pPr>
      <w:rPr>
        <w:rFonts w:hint="default" w:ascii="Calibri" w:hAnsi="Calibri"/>
      </w:rPr>
    </w:lvl>
    <w:lvl w:ilvl="1" w:tentative="0">
      <w:start w:val="1"/>
      <w:numFmt w:val="decimal"/>
      <w:pStyle w:val="3"/>
      <w:isLgl/>
      <w:lvlText w:val="%1.%2"/>
      <w:lvlJc w:val="left"/>
      <w:pPr>
        <w:ind w:left="142" w:firstLine="0"/>
      </w:pPr>
      <w:rPr>
        <w:rFonts w:hint="default" w:ascii="Calibri" w:hAnsi="Calibri" w:cs="Calibri"/>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pStyle w:val="4"/>
      <w:isLgl/>
      <w:lvlText w:val="%1.%2.%3"/>
      <w:lvlJc w:val="left"/>
      <w:pPr>
        <w:ind w:left="0" w:firstLine="0"/>
      </w:pPr>
      <w:rPr>
        <w:rFonts w:hint="default" w:ascii="Calibri" w:hAnsi="Calibri"/>
      </w:rPr>
    </w:lvl>
    <w:lvl w:ilvl="3" w:tentative="0">
      <w:start w:val="1"/>
      <w:numFmt w:val="decimal"/>
      <w:pStyle w:val="5"/>
      <w:isLgl/>
      <w:lvlText w:val="%1.%2.%3.%4"/>
      <w:lvlJc w:val="left"/>
      <w:pPr>
        <w:ind w:left="142" w:firstLine="0"/>
      </w:pPr>
      <w:rPr>
        <w:rFonts w:hint="default" w:ascii="Calibri" w:hAnsi="Calibri" w:cs="Calibri"/>
      </w:rPr>
    </w:lvl>
    <w:lvl w:ilvl="4" w:tentative="0">
      <w:start w:val="1"/>
      <w:numFmt w:val="decimal"/>
      <w:pStyle w:val="6"/>
      <w:isLgl/>
      <w:lvlText w:val="%1.%2.%3.%4.%5"/>
      <w:lvlJc w:val="left"/>
      <w:pPr>
        <w:ind w:left="0" w:firstLine="0"/>
      </w:pPr>
      <w:rPr>
        <w:rFonts w:hint="default" w:ascii="Calibri" w:hAnsi="Calibri" w:cs="Calibri"/>
      </w:rPr>
    </w:lvl>
    <w:lvl w:ilvl="5" w:tentative="0">
      <w:start w:val="1"/>
      <w:numFmt w:val="decimal"/>
      <w:pStyle w:val="7"/>
      <w:isLgl/>
      <w:lvlText w:val="%1.%2.%3.%4.%5.%6"/>
      <w:lvlJc w:val="left"/>
      <w:pPr>
        <w:ind w:left="0" w:firstLine="0"/>
      </w:pPr>
      <w:rPr>
        <w:rFonts w:hint="default" w:ascii="Calibri" w:hAnsi="Calibri" w:cs="Calibri"/>
      </w:rPr>
    </w:lvl>
    <w:lvl w:ilvl="6" w:tentative="0">
      <w:start w:val="1"/>
      <w:numFmt w:val="decimal"/>
      <w:pStyle w:val="8"/>
      <w:isLgl/>
      <w:lvlText w:val="%1.%2.%3.%4.%5.%6.%7"/>
      <w:lvlJc w:val="left"/>
      <w:pPr>
        <w:ind w:left="0" w:firstLine="0"/>
      </w:pPr>
      <w:rPr>
        <w:rFonts w:hint="eastAsia"/>
      </w:rPr>
    </w:lvl>
    <w:lvl w:ilvl="7" w:tentative="0">
      <w:start w:val="1"/>
      <w:numFmt w:val="decimal"/>
      <w:pStyle w:val="9"/>
      <w:isLgl/>
      <w:lvlText w:val="%1.%2.%3.%4.%5.%6.%7.%8"/>
      <w:lvlJc w:val="left"/>
      <w:pPr>
        <w:ind w:left="0" w:firstLine="0"/>
      </w:pPr>
      <w:rPr>
        <w:rFonts w:hint="eastAsia"/>
      </w:rPr>
    </w:lvl>
    <w:lvl w:ilvl="8" w:tentative="0">
      <w:start w:val="1"/>
      <w:numFmt w:val="decimal"/>
      <w:pStyle w:val="10"/>
      <w:isLgl/>
      <w:lvlText w:val="%1.%2.%3.%4.%5.%6.%7.%8.%9"/>
      <w:lvlJc w:val="left"/>
      <w:pPr>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EwYmEzNTJiZmZjOTFiMzNjZWJlMjkyOGRjMzBlMjQifQ=="/>
  </w:docVars>
  <w:rsids>
    <w:rsidRoot w:val="003A2A3A"/>
    <w:rsid w:val="000F33E6"/>
    <w:rsid w:val="001B186C"/>
    <w:rsid w:val="0021234D"/>
    <w:rsid w:val="00246958"/>
    <w:rsid w:val="00375B27"/>
    <w:rsid w:val="003A2A3A"/>
    <w:rsid w:val="003C59C3"/>
    <w:rsid w:val="00526DBE"/>
    <w:rsid w:val="005A14BA"/>
    <w:rsid w:val="00706227"/>
    <w:rsid w:val="007D5FF2"/>
    <w:rsid w:val="009E4E8B"/>
    <w:rsid w:val="00A13B44"/>
    <w:rsid w:val="00A37D4C"/>
    <w:rsid w:val="00E7678E"/>
    <w:rsid w:val="00F50FC7"/>
    <w:rsid w:val="094F1720"/>
    <w:rsid w:val="1DF70502"/>
    <w:rsid w:val="27283072"/>
    <w:rsid w:val="36216DE9"/>
    <w:rsid w:val="3AEA2BEF"/>
    <w:rsid w:val="40AF55B2"/>
    <w:rsid w:val="48616DCF"/>
    <w:rsid w:val="4C2E2D4C"/>
    <w:rsid w:val="54F00716"/>
    <w:rsid w:val="5C225080"/>
    <w:rsid w:val="5D846CE2"/>
    <w:rsid w:val="63245706"/>
    <w:rsid w:val="64487FCA"/>
    <w:rsid w:val="6D68730F"/>
    <w:rsid w:val="73CB35F0"/>
    <w:rsid w:val="74451486"/>
    <w:rsid w:val="79D35D8D"/>
    <w:rsid w:val="7AA931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qFormat="1" w:unhideWhenUsed="0" w:uiPriority="0"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14:ligatures w14:val="none"/>
    </w:rPr>
  </w:style>
  <w:style w:type="paragraph" w:styleId="2">
    <w:name w:val="heading 1"/>
    <w:basedOn w:val="1"/>
    <w:next w:val="1"/>
    <w:link w:val="29"/>
    <w:qFormat/>
    <w:uiPriority w:val="0"/>
    <w:pPr>
      <w:keepNext/>
      <w:keepLines/>
      <w:numPr>
        <w:ilvl w:val="0"/>
        <w:numId w:val="1"/>
      </w:numPr>
      <w:spacing w:before="340" w:after="330" w:line="360" w:lineRule="auto"/>
      <w:jc w:val="left"/>
      <w:outlineLvl w:val="0"/>
    </w:pPr>
    <w:rPr>
      <w:rFonts w:eastAsia="黑体"/>
      <w:b/>
      <w:bCs/>
      <w:kern w:val="44"/>
      <w:sz w:val="32"/>
      <w:szCs w:val="44"/>
    </w:rPr>
  </w:style>
  <w:style w:type="paragraph" w:styleId="3">
    <w:name w:val="heading 2"/>
    <w:basedOn w:val="1"/>
    <w:next w:val="1"/>
    <w:link w:val="21"/>
    <w:qFormat/>
    <w:uiPriority w:val="0"/>
    <w:pPr>
      <w:keepNext/>
      <w:keepLines/>
      <w:numPr>
        <w:ilvl w:val="1"/>
        <w:numId w:val="1"/>
      </w:numPr>
      <w:spacing w:before="260" w:after="260" w:line="416" w:lineRule="auto"/>
      <w:jc w:val="left"/>
      <w:outlineLvl w:val="1"/>
    </w:pPr>
    <w:rPr>
      <w:rFonts w:ascii="Cambria" w:hAnsi="Cambria" w:eastAsia="黑体"/>
      <w:b/>
      <w:bCs/>
      <w:sz w:val="32"/>
      <w:szCs w:val="32"/>
    </w:rPr>
  </w:style>
  <w:style w:type="paragraph" w:styleId="4">
    <w:name w:val="heading 3"/>
    <w:basedOn w:val="1"/>
    <w:next w:val="1"/>
    <w:link w:val="22"/>
    <w:qFormat/>
    <w:uiPriority w:val="0"/>
    <w:pPr>
      <w:keepNext/>
      <w:keepLines/>
      <w:numPr>
        <w:ilvl w:val="2"/>
        <w:numId w:val="1"/>
      </w:numPr>
      <w:spacing w:before="260" w:after="260" w:line="416" w:lineRule="auto"/>
      <w:jc w:val="left"/>
      <w:outlineLvl w:val="2"/>
    </w:pPr>
    <w:rPr>
      <w:rFonts w:eastAsia="黑体"/>
      <w:b/>
      <w:bCs/>
      <w:sz w:val="30"/>
      <w:szCs w:val="32"/>
    </w:rPr>
  </w:style>
  <w:style w:type="paragraph" w:styleId="5">
    <w:name w:val="heading 4"/>
    <w:basedOn w:val="1"/>
    <w:next w:val="1"/>
    <w:link w:val="23"/>
    <w:qFormat/>
    <w:uiPriority w:val="0"/>
    <w:pPr>
      <w:keepNext/>
      <w:keepLines/>
      <w:numPr>
        <w:ilvl w:val="3"/>
        <w:numId w:val="1"/>
      </w:numPr>
      <w:spacing w:before="280" w:after="290" w:line="376" w:lineRule="auto"/>
      <w:jc w:val="left"/>
      <w:outlineLvl w:val="3"/>
    </w:pPr>
    <w:rPr>
      <w:rFonts w:ascii="Cambria" w:hAnsi="Cambria" w:eastAsia="黑体"/>
      <w:b/>
      <w:bCs/>
      <w:sz w:val="30"/>
      <w:szCs w:val="28"/>
    </w:rPr>
  </w:style>
  <w:style w:type="paragraph" w:styleId="6">
    <w:name w:val="heading 5"/>
    <w:basedOn w:val="1"/>
    <w:next w:val="1"/>
    <w:link w:val="24"/>
    <w:qFormat/>
    <w:uiPriority w:val="0"/>
    <w:pPr>
      <w:keepNext/>
      <w:keepLines/>
      <w:numPr>
        <w:ilvl w:val="4"/>
        <w:numId w:val="1"/>
      </w:numPr>
      <w:spacing w:before="280" w:after="290" w:line="376" w:lineRule="auto"/>
      <w:jc w:val="left"/>
      <w:outlineLvl w:val="4"/>
    </w:pPr>
    <w:rPr>
      <w:rFonts w:eastAsia="黑体"/>
      <w:b/>
      <w:bCs/>
      <w:sz w:val="28"/>
      <w:szCs w:val="28"/>
    </w:rPr>
  </w:style>
  <w:style w:type="paragraph" w:styleId="7">
    <w:name w:val="heading 6"/>
    <w:basedOn w:val="1"/>
    <w:next w:val="1"/>
    <w:link w:val="25"/>
    <w:qFormat/>
    <w:uiPriority w:val="0"/>
    <w:pPr>
      <w:keepNext/>
      <w:keepLines/>
      <w:numPr>
        <w:ilvl w:val="5"/>
        <w:numId w:val="1"/>
      </w:numPr>
      <w:spacing w:before="240" w:after="64" w:line="320" w:lineRule="auto"/>
      <w:jc w:val="left"/>
      <w:outlineLvl w:val="5"/>
    </w:pPr>
    <w:rPr>
      <w:rFonts w:ascii="Cambria" w:hAnsi="Cambria" w:eastAsia="黑体"/>
      <w:b/>
      <w:bCs/>
      <w:sz w:val="24"/>
      <w:szCs w:val="24"/>
    </w:rPr>
  </w:style>
  <w:style w:type="paragraph" w:styleId="8">
    <w:name w:val="heading 7"/>
    <w:basedOn w:val="1"/>
    <w:next w:val="1"/>
    <w:link w:val="26"/>
    <w:qFormat/>
    <w:uiPriority w:val="0"/>
    <w:pPr>
      <w:keepNext/>
      <w:keepLines/>
      <w:numPr>
        <w:ilvl w:val="6"/>
        <w:numId w:val="1"/>
      </w:numPr>
      <w:spacing w:before="240" w:after="64" w:line="320" w:lineRule="auto"/>
      <w:jc w:val="left"/>
      <w:outlineLvl w:val="6"/>
    </w:pPr>
    <w:rPr>
      <w:rFonts w:eastAsia="黑体"/>
      <w:b/>
      <w:bCs/>
      <w:sz w:val="24"/>
      <w:szCs w:val="24"/>
    </w:rPr>
  </w:style>
  <w:style w:type="paragraph" w:styleId="9">
    <w:name w:val="heading 8"/>
    <w:basedOn w:val="1"/>
    <w:next w:val="1"/>
    <w:link w:val="27"/>
    <w:qFormat/>
    <w:uiPriority w:val="0"/>
    <w:pPr>
      <w:keepNext/>
      <w:keepLines/>
      <w:numPr>
        <w:ilvl w:val="7"/>
        <w:numId w:val="1"/>
      </w:numPr>
      <w:spacing w:before="240" w:after="64" w:line="320" w:lineRule="auto"/>
      <w:jc w:val="left"/>
      <w:outlineLvl w:val="7"/>
    </w:pPr>
    <w:rPr>
      <w:rFonts w:ascii="Cambria" w:hAnsi="Cambria" w:eastAsia="黑体"/>
      <w:sz w:val="24"/>
      <w:szCs w:val="24"/>
    </w:rPr>
  </w:style>
  <w:style w:type="paragraph" w:styleId="10">
    <w:name w:val="heading 9"/>
    <w:basedOn w:val="1"/>
    <w:next w:val="1"/>
    <w:link w:val="28"/>
    <w:qFormat/>
    <w:uiPriority w:val="0"/>
    <w:pPr>
      <w:keepNext/>
      <w:keepLines/>
      <w:numPr>
        <w:ilvl w:val="8"/>
        <w:numId w:val="1"/>
      </w:numPr>
      <w:spacing w:before="240" w:after="64" w:line="320" w:lineRule="auto"/>
      <w:outlineLvl w:val="8"/>
    </w:pPr>
    <w:rPr>
      <w:rFonts w:ascii="Cambria" w:hAnsi="Cambria"/>
      <w:szCs w:val="21"/>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11">
    <w:name w:val="Note Heading"/>
    <w:basedOn w:val="1"/>
    <w:next w:val="1"/>
    <w:link w:val="33"/>
    <w:qFormat/>
    <w:uiPriority w:val="0"/>
    <w:pPr>
      <w:jc w:val="center"/>
    </w:pPr>
    <w:rPr>
      <w:rFonts w:ascii="Times New Roman" w:hAnsi="Times New Roman"/>
      <w:szCs w:val="24"/>
    </w:rPr>
  </w:style>
  <w:style w:type="paragraph" w:styleId="12">
    <w:name w:val="Body Text"/>
    <w:basedOn w:val="1"/>
    <w:semiHidden/>
    <w:qFormat/>
    <w:uiPriority w:val="0"/>
    <w:rPr>
      <w:rFonts w:ascii="宋体" w:hAnsi="宋体" w:eastAsia="宋体" w:cs="宋体"/>
      <w:sz w:val="24"/>
      <w:szCs w:val="24"/>
      <w:lang w:val="en-US" w:eastAsia="en-US" w:bidi="ar-SA"/>
    </w:rPr>
  </w:style>
  <w:style w:type="paragraph" w:styleId="13">
    <w:name w:val="footer"/>
    <w:basedOn w:val="1"/>
    <w:link w:val="19"/>
    <w:unhideWhenUsed/>
    <w:qFormat/>
    <w:uiPriority w:val="99"/>
    <w:pPr>
      <w:tabs>
        <w:tab w:val="center" w:pos="4153"/>
        <w:tab w:val="right" w:pos="8306"/>
      </w:tabs>
      <w:snapToGrid w:val="0"/>
      <w:jc w:val="left"/>
    </w:pPr>
    <w:rPr>
      <w:sz w:val="18"/>
      <w:szCs w:val="18"/>
    </w:rPr>
  </w:style>
  <w:style w:type="paragraph" w:styleId="14">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页眉 字符"/>
    <w:basedOn w:val="17"/>
    <w:link w:val="14"/>
    <w:qFormat/>
    <w:uiPriority w:val="99"/>
    <w:rPr>
      <w:sz w:val="18"/>
      <w:szCs w:val="18"/>
    </w:rPr>
  </w:style>
  <w:style w:type="character" w:customStyle="1" w:styleId="19">
    <w:name w:val="页脚 字符"/>
    <w:basedOn w:val="17"/>
    <w:link w:val="13"/>
    <w:qFormat/>
    <w:uiPriority w:val="99"/>
    <w:rPr>
      <w:sz w:val="18"/>
      <w:szCs w:val="18"/>
    </w:rPr>
  </w:style>
  <w:style w:type="character" w:customStyle="1" w:styleId="20">
    <w:name w:val="标题 1 字符"/>
    <w:basedOn w:val="17"/>
    <w:qFormat/>
    <w:uiPriority w:val="9"/>
    <w:rPr>
      <w:rFonts w:ascii="Calibri" w:hAnsi="Calibri" w:eastAsia="宋体" w:cs="Times New Roman"/>
      <w:b/>
      <w:bCs/>
      <w:kern w:val="44"/>
      <w:sz w:val="44"/>
      <w:szCs w:val="44"/>
      <w14:ligatures w14:val="none"/>
    </w:rPr>
  </w:style>
  <w:style w:type="character" w:customStyle="1" w:styleId="21">
    <w:name w:val="标题 2 字符"/>
    <w:basedOn w:val="17"/>
    <w:link w:val="3"/>
    <w:qFormat/>
    <w:uiPriority w:val="0"/>
    <w:rPr>
      <w:rFonts w:ascii="Cambria" w:hAnsi="Cambria" w:eastAsia="黑体" w:cs="Times New Roman"/>
      <w:b/>
      <w:bCs/>
      <w:sz w:val="32"/>
      <w:szCs w:val="32"/>
      <w14:ligatures w14:val="none"/>
    </w:rPr>
  </w:style>
  <w:style w:type="character" w:customStyle="1" w:styleId="22">
    <w:name w:val="标题 3 字符"/>
    <w:basedOn w:val="17"/>
    <w:link w:val="4"/>
    <w:qFormat/>
    <w:uiPriority w:val="0"/>
    <w:rPr>
      <w:rFonts w:ascii="Calibri" w:hAnsi="Calibri" w:eastAsia="黑体" w:cs="Times New Roman"/>
      <w:b/>
      <w:bCs/>
      <w:sz w:val="30"/>
      <w:szCs w:val="32"/>
      <w14:ligatures w14:val="none"/>
    </w:rPr>
  </w:style>
  <w:style w:type="character" w:customStyle="1" w:styleId="23">
    <w:name w:val="标题 4 字符"/>
    <w:basedOn w:val="17"/>
    <w:link w:val="5"/>
    <w:qFormat/>
    <w:uiPriority w:val="0"/>
    <w:rPr>
      <w:rFonts w:ascii="Cambria" w:hAnsi="Cambria" w:eastAsia="黑体" w:cs="Times New Roman"/>
      <w:b/>
      <w:bCs/>
      <w:sz w:val="30"/>
      <w:szCs w:val="28"/>
      <w14:ligatures w14:val="none"/>
    </w:rPr>
  </w:style>
  <w:style w:type="character" w:customStyle="1" w:styleId="24">
    <w:name w:val="标题 5 字符"/>
    <w:basedOn w:val="17"/>
    <w:link w:val="6"/>
    <w:qFormat/>
    <w:uiPriority w:val="0"/>
    <w:rPr>
      <w:rFonts w:ascii="Calibri" w:hAnsi="Calibri" w:eastAsia="黑体" w:cs="Times New Roman"/>
      <w:b/>
      <w:bCs/>
      <w:sz w:val="28"/>
      <w:szCs w:val="28"/>
      <w14:ligatures w14:val="none"/>
    </w:rPr>
  </w:style>
  <w:style w:type="character" w:customStyle="1" w:styleId="25">
    <w:name w:val="标题 6 字符"/>
    <w:basedOn w:val="17"/>
    <w:link w:val="7"/>
    <w:qFormat/>
    <w:uiPriority w:val="0"/>
    <w:rPr>
      <w:rFonts w:ascii="Cambria" w:hAnsi="Cambria" w:eastAsia="黑体" w:cs="Times New Roman"/>
      <w:b/>
      <w:bCs/>
      <w:sz w:val="24"/>
      <w:szCs w:val="24"/>
      <w14:ligatures w14:val="none"/>
    </w:rPr>
  </w:style>
  <w:style w:type="character" w:customStyle="1" w:styleId="26">
    <w:name w:val="标题 7 字符"/>
    <w:basedOn w:val="17"/>
    <w:link w:val="8"/>
    <w:qFormat/>
    <w:uiPriority w:val="0"/>
    <w:rPr>
      <w:rFonts w:ascii="Calibri" w:hAnsi="Calibri" w:eastAsia="黑体" w:cs="Times New Roman"/>
      <w:b/>
      <w:bCs/>
      <w:sz w:val="24"/>
      <w:szCs w:val="24"/>
      <w14:ligatures w14:val="none"/>
    </w:rPr>
  </w:style>
  <w:style w:type="character" w:customStyle="1" w:styleId="27">
    <w:name w:val="标题 8 字符"/>
    <w:basedOn w:val="17"/>
    <w:link w:val="9"/>
    <w:qFormat/>
    <w:uiPriority w:val="0"/>
    <w:rPr>
      <w:rFonts w:ascii="Cambria" w:hAnsi="Cambria" w:eastAsia="黑体" w:cs="Times New Roman"/>
      <w:sz w:val="24"/>
      <w:szCs w:val="24"/>
      <w14:ligatures w14:val="none"/>
    </w:rPr>
  </w:style>
  <w:style w:type="character" w:customStyle="1" w:styleId="28">
    <w:name w:val="标题 9 字符"/>
    <w:basedOn w:val="17"/>
    <w:link w:val="10"/>
    <w:qFormat/>
    <w:uiPriority w:val="0"/>
    <w:rPr>
      <w:rFonts w:ascii="Cambria" w:hAnsi="Cambria" w:eastAsia="宋体" w:cs="Times New Roman"/>
      <w:szCs w:val="21"/>
      <w14:ligatures w14:val="none"/>
    </w:rPr>
  </w:style>
  <w:style w:type="character" w:customStyle="1" w:styleId="29">
    <w:name w:val="标题 1 字符1"/>
    <w:link w:val="2"/>
    <w:qFormat/>
    <w:uiPriority w:val="0"/>
    <w:rPr>
      <w:rFonts w:ascii="Calibri" w:hAnsi="Calibri" w:eastAsia="黑体" w:cs="Times New Roman"/>
      <w:b/>
      <w:bCs/>
      <w:kern w:val="44"/>
      <w:sz w:val="32"/>
      <w:szCs w:val="44"/>
      <w14:ligatures w14:val="none"/>
    </w:rPr>
  </w:style>
  <w:style w:type="paragraph" w:customStyle="1" w:styleId="30">
    <w:name w:val="佛山投标文件格式"/>
    <w:basedOn w:val="1"/>
    <w:link w:val="31"/>
    <w:qFormat/>
    <w:uiPriority w:val="0"/>
    <w:pPr>
      <w:autoSpaceDE w:val="0"/>
      <w:autoSpaceDN w:val="0"/>
      <w:adjustRightInd w:val="0"/>
      <w:snapToGrid w:val="0"/>
      <w:spacing w:line="360" w:lineRule="auto"/>
      <w:ind w:firstLine="480" w:firstLineChars="200"/>
      <w:jc w:val="left"/>
    </w:pPr>
    <w:rPr>
      <w:rFonts w:ascii="宋体" w:hAnsi="宋体" w:cs="SimSun,Bold"/>
      <w:bCs/>
      <w:kern w:val="0"/>
      <w:sz w:val="24"/>
      <w:szCs w:val="24"/>
    </w:rPr>
  </w:style>
  <w:style w:type="character" w:customStyle="1" w:styleId="31">
    <w:name w:val="佛山投标文件格式 Char"/>
    <w:link w:val="30"/>
    <w:qFormat/>
    <w:uiPriority w:val="0"/>
    <w:rPr>
      <w:rFonts w:ascii="宋体" w:hAnsi="宋体" w:eastAsia="宋体" w:cs="SimSun,Bold"/>
      <w:bCs/>
      <w:kern w:val="0"/>
      <w:sz w:val="24"/>
      <w:szCs w:val="24"/>
      <w14:ligatures w14:val="none"/>
    </w:rPr>
  </w:style>
  <w:style w:type="character" w:customStyle="1" w:styleId="32">
    <w:name w:val="注释标题 字符"/>
    <w:basedOn w:val="17"/>
    <w:semiHidden/>
    <w:qFormat/>
    <w:uiPriority w:val="99"/>
    <w:rPr>
      <w:rFonts w:ascii="Calibri" w:hAnsi="Calibri" w:eastAsia="宋体" w:cs="Times New Roman"/>
      <w14:ligatures w14:val="none"/>
    </w:rPr>
  </w:style>
  <w:style w:type="character" w:customStyle="1" w:styleId="33">
    <w:name w:val="注释标题 字符1"/>
    <w:link w:val="11"/>
    <w:qFormat/>
    <w:uiPriority w:val="0"/>
    <w:rPr>
      <w:rFonts w:ascii="Times New Roman" w:hAnsi="Times New Roman" w:eastAsia="宋体" w:cs="Times New Roman"/>
      <w:szCs w:val="24"/>
      <w14:ligatures w14:val="none"/>
    </w:rPr>
  </w:style>
  <w:style w:type="paragraph" w:customStyle="1" w:styleId="34">
    <w:name w:val="投标正文"/>
    <w:basedOn w:val="1"/>
    <w:link w:val="35"/>
    <w:qFormat/>
    <w:uiPriority w:val="0"/>
    <w:pPr>
      <w:adjustRightInd w:val="0"/>
      <w:snapToGrid w:val="0"/>
      <w:spacing w:line="360" w:lineRule="auto"/>
      <w:ind w:firstLine="480" w:firstLineChars="200"/>
    </w:pPr>
    <w:rPr>
      <w:rFonts w:ascii="宋体" w:hAnsi="宋体"/>
      <w:sz w:val="24"/>
      <w:szCs w:val="24"/>
    </w:rPr>
  </w:style>
  <w:style w:type="character" w:customStyle="1" w:styleId="35">
    <w:name w:val="投标正文 Char"/>
    <w:link w:val="34"/>
    <w:qFormat/>
    <w:uiPriority w:val="0"/>
    <w:rPr>
      <w:rFonts w:ascii="宋体" w:hAnsi="宋体" w:eastAsia="宋体" w:cs="Times New Roman"/>
      <w:sz w:val="24"/>
      <w:szCs w:val="24"/>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3101</Words>
  <Characters>3110</Characters>
  <Lines>23</Lines>
  <Paragraphs>6</Paragraphs>
  <TotalTime>0</TotalTime>
  <ScaleCrop>false</ScaleCrop>
  <LinksUpToDate>false</LinksUpToDate>
  <CharactersWithSpaces>3110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2024-09-18T15:04:00Z</dcterms:created>
  <dc:creator>zhiyao li</dc:creator>
  <cp:lastModifiedBy>淡忘</cp:lastModifiedBy>
  <dcterms:modified xsi:type="dcterms:W3CDTF">2024-11-25T07:35:00Z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D03B7A039D334C10AC8FFFDEEE71A487_13</vt:lpwstr>
  </property>
</Properties>
</file>