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95DA">
      <w:pPr>
        <w:spacing w:after="312"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委托取样协议</w:t>
      </w:r>
    </w:p>
    <w:p w14:paraId="5F8AFEEB">
      <w:pPr>
        <w:spacing w:line="360" w:lineRule="auto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委托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方（以下简称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甲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方）：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湖南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千金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湘江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药业股份有限公司</w:t>
      </w:r>
    </w:p>
    <w:p w14:paraId="1EDB9801">
      <w:pPr>
        <w:spacing w:line="360" w:lineRule="auto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受托方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（以下简称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方）：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苏州海顺包装材料有限公司</w:t>
      </w:r>
    </w:p>
    <w:p w14:paraId="7E6B14B7">
      <w:pPr>
        <w:spacing w:line="360" w:lineRule="auto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委托取样物料名称：</w:t>
      </w:r>
    </w:p>
    <w:p w14:paraId="6192B16A">
      <w:pPr>
        <w:spacing w:line="360" w:lineRule="auto"/>
        <w:ind w:firstLine="480" w:firstLineChars="200"/>
        <w:jc w:val="left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□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聚氯乙烯固体药用硬片 </w:t>
      </w:r>
      <w:r>
        <w:rPr>
          <w:rFonts w:asciiTheme="majorEastAsia" w:hAnsiTheme="majorEastAsia" w:eastAsiaTheme="majorEastAsia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□</w:t>
      </w:r>
      <w:r>
        <w:rPr>
          <w:rFonts w:hint="eastAsia" w:asciiTheme="majorEastAsia" w:hAnsiTheme="majorEastAsia" w:eastAsiaTheme="majorEastAsia"/>
          <w:sz w:val="24"/>
          <w:szCs w:val="24"/>
        </w:rPr>
        <w:t>药用铝箔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☑</w:t>
      </w:r>
      <w:r>
        <w:rPr>
          <w:rFonts w:hint="eastAsia" w:asciiTheme="majorEastAsia" w:hAnsiTheme="majorEastAsia" w:eastAsiaTheme="majorEastAsia"/>
          <w:sz w:val="24"/>
          <w:szCs w:val="24"/>
        </w:rPr>
        <w:t>药用复合膜</w:t>
      </w:r>
    </w:p>
    <w:p w14:paraId="6C81F432">
      <w:p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□</w:t>
      </w:r>
      <w:r>
        <w:rPr>
          <w:rFonts w:hint="eastAsia" w:ascii="宋体" w:hAnsi="宋体" w:cs="仿宋_GB2312"/>
          <w:bCs/>
          <w:sz w:val="24"/>
          <w:szCs w:val="24"/>
          <w:lang w:val="en-US" w:eastAsia="zh-CN"/>
        </w:rPr>
        <w:t>聚酰胺/铝/聚氯乙烯冷冲压成型固体药用复合硬片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□其 </w:t>
      </w:r>
      <w:r>
        <w:rPr>
          <w:rFonts w:asciiTheme="majorEastAsia" w:hAnsiTheme="majorEastAsia" w:eastAsia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4"/>
        </w:rPr>
        <w:t>他：</w:t>
      </w:r>
      <w:r>
        <w:rPr>
          <w:rFonts w:hint="eastAsia" w:asciiTheme="majorEastAsia" w:hAnsiTheme="majorEastAsia" w:eastAsiaTheme="majorEastAsia"/>
          <w:sz w:val="24"/>
          <w:szCs w:val="24"/>
          <w:u w:val="single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  <w:u w:val="single"/>
        </w:rPr>
        <w:t xml:space="preserve"> /  </w:t>
      </w:r>
    </w:p>
    <w:p w14:paraId="363DD3D2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方依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甲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方要求，且经双方友好协商，愿就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方提供甲方的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物料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，按2010版《药品生产质量管理规范》附录9《取样》的要求，在D级洁净区内物料包装过程中，执行受托取样，双方达成以下协议：</w:t>
      </w:r>
    </w:p>
    <w:p w14:paraId="1D921C58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1.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方负责对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方受托取样人员开展取样操作培训，使其具有理化与微生物检测样品的取样能力，并经取样授权。授权后，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方将培训合格资料、受托取样人员清单（含授权日期）转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甲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方备查。取样人员如有变更，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乙方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应及时完成人员培训，更新授权取样人员清单及取样授权书。</w:t>
      </w:r>
    </w:p>
    <w:p w14:paraId="4AC2B659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2.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甲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方将委托取样协议、培训资料、受托取样人员清单纳入供应商档案。</w:t>
      </w:r>
    </w:p>
    <w:p w14:paraId="215976FE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3.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方应按本协议及附件《委托取样操作要求》执行受托取样。</w:t>
      </w:r>
    </w:p>
    <w:p w14:paraId="70D19199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4.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乙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方对提供给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甲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方的物料及样品，同意授予可经第三方检测的权限。</w:t>
      </w:r>
    </w:p>
    <w:p w14:paraId="49524E6A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</w:rPr>
        <w:t>本协议一式两份，甲乙双方各执一份，协议自双方签字盖章之日起生效。</w:t>
      </w:r>
    </w:p>
    <w:p w14:paraId="3C2C1EC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  <w:lang w:val="en-US" w:eastAsia="zh-CN"/>
        </w:rPr>
        <w:t>6.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>本协议经双方签订之日起，有效期定为三年。</w:t>
      </w:r>
      <w:bookmarkStart w:id="0" w:name="_GoBack"/>
      <w:bookmarkEnd w:id="0"/>
    </w:p>
    <w:p w14:paraId="7B884ABA"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color w:val="auto"/>
        </w:rPr>
      </w:pP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>本协议未尽事宜，由双方共同协调解决。</w:t>
      </w:r>
    </w:p>
    <w:p w14:paraId="493C4455">
      <w:pPr>
        <w:spacing w:after="936" w:afterLines="300"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  <w:szCs w:val="24"/>
        </w:rPr>
      </w:pPr>
    </w:p>
    <w:p w14:paraId="094F4338">
      <w:pPr>
        <w:spacing w:after="936" w:afterLines="300"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甲方：（盖章） </w:t>
      </w:r>
      <w:r>
        <w:rPr>
          <w:rFonts w:asciiTheme="majorEastAsia" w:hAnsiTheme="majorEastAsia" w:eastAsiaTheme="majorEastAsia"/>
          <w:sz w:val="24"/>
          <w:szCs w:val="24"/>
        </w:rPr>
        <w:t xml:space="preserve">                             </w:t>
      </w:r>
      <w:r>
        <w:rPr>
          <w:rFonts w:hint="eastAsia" w:asciiTheme="majorEastAsia" w:hAnsiTheme="majorEastAsia" w:eastAsiaTheme="majorEastAsia"/>
          <w:sz w:val="24"/>
          <w:szCs w:val="24"/>
        </w:rPr>
        <w:t>乙方：（盖章）</w:t>
      </w:r>
    </w:p>
    <w:p w14:paraId="140D7D19">
      <w:pPr>
        <w:spacing w:after="936" w:afterLines="300"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质量负责人签字： </w:t>
      </w:r>
      <w:r>
        <w:rPr>
          <w:rFonts w:asciiTheme="majorEastAsia" w:hAnsiTheme="majorEastAsia" w:eastAsiaTheme="majorEastAsia"/>
          <w:sz w:val="24"/>
          <w:szCs w:val="24"/>
        </w:rPr>
        <w:t xml:space="preserve">                          </w:t>
      </w:r>
      <w:r>
        <w:rPr>
          <w:rFonts w:hint="eastAsia" w:asciiTheme="majorEastAsia" w:hAnsiTheme="majorEastAsia" w:eastAsiaTheme="majorEastAsia"/>
          <w:sz w:val="24"/>
          <w:szCs w:val="24"/>
        </w:rPr>
        <w:t>质量负责人签字：</w:t>
      </w:r>
    </w:p>
    <w:p w14:paraId="401B979C">
      <w:pPr>
        <w:spacing w:line="360" w:lineRule="auto"/>
        <w:ind w:firstLine="960" w:firstLineChars="4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年 </w:t>
      </w:r>
      <w:r>
        <w:rPr>
          <w:rFonts w:asciiTheme="majorEastAsia" w:hAnsiTheme="majorEastAsia" w:eastAsiaTheme="majorEastAsia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月 </w:t>
      </w:r>
      <w:r>
        <w:rPr>
          <w:rFonts w:asciiTheme="majorEastAsia" w:hAnsiTheme="majorEastAsia" w:eastAsiaTheme="majorEastAsia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日 </w:t>
      </w:r>
      <w:r>
        <w:rPr>
          <w:rFonts w:asciiTheme="majorEastAsia" w:hAnsiTheme="majorEastAsia" w:eastAsiaTheme="majorEastAsia"/>
          <w:sz w:val="24"/>
          <w:szCs w:val="24"/>
        </w:rPr>
        <w:t xml:space="preserve">                      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年 </w:t>
      </w:r>
      <w:r>
        <w:rPr>
          <w:rFonts w:asciiTheme="majorEastAsia" w:hAnsiTheme="majorEastAsia" w:eastAsiaTheme="majorEastAsia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月 </w:t>
      </w:r>
      <w:r>
        <w:rPr>
          <w:rFonts w:asciiTheme="majorEastAsia" w:hAnsiTheme="majorEastAsia" w:eastAsiaTheme="majorEastAsia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/>
          <w:sz w:val="24"/>
          <w:szCs w:val="24"/>
        </w:rPr>
        <w:t>日</w:t>
      </w:r>
    </w:p>
    <w:p w14:paraId="66DE84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2D40E7A">
      <w:pPr>
        <w:spacing w:line="360" w:lineRule="auto"/>
        <w:jc w:val="both"/>
        <w:rPr>
          <w:rFonts w:hint="default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附件：</w:t>
      </w:r>
    </w:p>
    <w:p w14:paraId="04E8B4B5">
      <w:pPr>
        <w:spacing w:line="360" w:lineRule="auto"/>
        <w:jc w:val="center"/>
        <w:rPr>
          <w:rFonts w:hint="default" w:ascii="Times New Roman" w:hAnsi="Times New Roman" w:cs="Times New Roman"/>
          <w:b/>
          <w:color w:val="0070C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委托取样操作要求</w:t>
      </w:r>
    </w:p>
    <w:p w14:paraId="7BCDFFA0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1.甲方取样时，应按理化检验样品、微生物检验样品分开包装。取样件数和取样量应遵循以下原则:</w:t>
      </w:r>
    </w:p>
    <w:p w14:paraId="3D09AEC2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1.1取样件数</w:t>
      </w:r>
    </w:p>
    <w:p w14:paraId="1C086C9A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n代表该批次产品来货总包装件数，当n≤3，每件取样；当3＜n≤300时，按</w:t>
      </w: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403860" cy="170180"/>
            <wp:effectExtent l="0" t="0" r="152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</w:rPr>
        <w:t>取样；当n＞300时，按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radPr>
              <m:deg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deg>
              <m:e>
                <m:r>
                  <m:rPr>
                    <m:nor/>
                  </m:rPr>
                  <w:rPr>
                    <w:rFonts w:hint="default" w:ascii="Times New Roman" w:hAnsi="Times New Roman" w:cs="Times New Roman"/>
                    <w:i/>
                    <w:sz w:val="24"/>
                    <w:szCs w:val="24"/>
                  </w:rPr>
                  <m:t>n</m:t>
                </m:r>
                <m:ctrlPr>
                  <w:rPr>
                    <w:rFonts w:hint="default" w:ascii="Cambria Math" w:hAnsi="Cambria Math" w:cs="Times New Roman"/>
                    <w:sz w:val="24"/>
                    <w:szCs w:val="24"/>
                  </w:rPr>
                </m:ctrlPr>
              </m:e>
            </m:rad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cs="Times New Roman"/>
                <w:i/>
                <w:sz w:val="24"/>
                <w:szCs w:val="24"/>
              </w:rPr>
            </m:ctrlPr>
          </m:den>
        </m:f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4"/>
            <w:szCs w:val="24"/>
          </w:rPr>
          <m:t>+1</m:t>
        </m:r>
      </m:oMath>
      <w:r>
        <w:rPr>
          <w:rFonts w:hint="default" w:ascii="Times New Roman" w:hAnsi="Times New Roman" w:cs="Times New Roman"/>
          <w:sz w:val="24"/>
          <w:szCs w:val="24"/>
        </w:rPr>
        <w:t>取样。如遇小数时，则进为整数。</w:t>
      </w:r>
    </w:p>
    <w:p w14:paraId="286A1A72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1.2取样量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1596"/>
        <w:gridCol w:w="1990"/>
        <w:gridCol w:w="2509"/>
      </w:tblGrid>
      <w:tr w14:paraId="2ED5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pct"/>
            <w:vMerge w:val="restart"/>
            <w:vAlign w:val="center"/>
          </w:tcPr>
          <w:p w14:paraId="3A51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物料名称</w:t>
            </w:r>
          </w:p>
        </w:tc>
        <w:tc>
          <w:tcPr>
            <w:tcW w:w="3578" w:type="pct"/>
            <w:gridSpan w:val="3"/>
            <w:vAlign w:val="center"/>
          </w:tcPr>
          <w:p w14:paraId="0881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样品类别及样品量（以子卷卷幅宽度为宽，取所需长度）</w:t>
            </w:r>
          </w:p>
        </w:tc>
      </w:tr>
      <w:tr w14:paraId="461A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pct"/>
            <w:vMerge w:val="continue"/>
          </w:tcPr>
          <w:p w14:paraId="77D0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7" w:type="pct"/>
          </w:tcPr>
          <w:p w14:paraId="725D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每件取样量</w:t>
            </w:r>
          </w:p>
        </w:tc>
        <w:tc>
          <w:tcPr>
            <w:tcW w:w="1168" w:type="pct"/>
            <w:vAlign w:val="center"/>
          </w:tcPr>
          <w:p w14:paraId="7FB6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理化样品量（1份）</w:t>
            </w:r>
          </w:p>
        </w:tc>
        <w:tc>
          <w:tcPr>
            <w:tcW w:w="1472" w:type="pct"/>
            <w:vAlign w:val="center"/>
          </w:tcPr>
          <w:p w14:paraId="5C73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微生物样品量（1份）</w:t>
            </w:r>
          </w:p>
        </w:tc>
      </w:tr>
      <w:tr w14:paraId="7BCA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pct"/>
            <w:vAlign w:val="center"/>
          </w:tcPr>
          <w:p w14:paraId="16CC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PVC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PVC/PVDC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3DCE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药用铝箔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</w:p>
          <w:p w14:paraId="08DC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聚酰胺/铝/聚氯乙烯冷冲压成型固体药用复合硬片</w:t>
            </w:r>
          </w:p>
        </w:tc>
        <w:tc>
          <w:tcPr>
            <w:tcW w:w="937" w:type="pct"/>
            <w:vAlign w:val="center"/>
          </w:tcPr>
          <w:p w14:paraId="3E56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0.2m，至少1件的长度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2m</w:t>
            </w:r>
          </w:p>
        </w:tc>
        <w:tc>
          <w:tcPr>
            <w:tcW w:w="1168" w:type="pct"/>
            <w:vAlign w:val="center"/>
          </w:tcPr>
          <w:p w14:paraId="00F2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4m/批</w:t>
            </w:r>
          </w:p>
        </w:tc>
        <w:tc>
          <w:tcPr>
            <w:tcW w:w="1472" w:type="pct"/>
            <w:vAlign w:val="center"/>
          </w:tcPr>
          <w:p w14:paraId="40198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m/批</w:t>
            </w:r>
          </w:p>
        </w:tc>
      </w:tr>
      <w:tr w14:paraId="2B71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pct"/>
            <w:vMerge w:val="restart"/>
            <w:vAlign w:val="center"/>
          </w:tcPr>
          <w:p w14:paraId="13F8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ind w:left="1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药用复合膜</w:t>
            </w:r>
          </w:p>
        </w:tc>
        <w:tc>
          <w:tcPr>
            <w:tcW w:w="937" w:type="pct"/>
            <w:vMerge w:val="restart"/>
            <w:vAlign w:val="center"/>
          </w:tcPr>
          <w:p w14:paraId="45FA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0.3m，至少1件的长度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2m</w:t>
            </w:r>
          </w:p>
        </w:tc>
        <w:tc>
          <w:tcPr>
            <w:tcW w:w="1168" w:type="pct"/>
            <w:vMerge w:val="restart"/>
            <w:vAlign w:val="center"/>
          </w:tcPr>
          <w:p w14:paraId="19B7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3m/批</w:t>
            </w:r>
          </w:p>
        </w:tc>
        <w:tc>
          <w:tcPr>
            <w:tcW w:w="1472" w:type="pct"/>
            <w:vAlign w:val="center"/>
          </w:tcPr>
          <w:p w14:paraId="16BB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卷幅宽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205mm，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m/批</w:t>
            </w:r>
          </w:p>
        </w:tc>
      </w:tr>
      <w:tr w14:paraId="7304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pct"/>
            <w:vMerge w:val="continue"/>
            <w:vAlign w:val="center"/>
          </w:tcPr>
          <w:p w14:paraId="63D9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ind w:left="11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7" w:type="pct"/>
            <w:vMerge w:val="continue"/>
            <w:vAlign w:val="center"/>
          </w:tcPr>
          <w:p w14:paraId="4023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68" w:type="pct"/>
            <w:vMerge w:val="continue"/>
            <w:vAlign w:val="center"/>
          </w:tcPr>
          <w:p w14:paraId="1DF1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pct"/>
            <w:vAlign w:val="center"/>
          </w:tcPr>
          <w:p w14:paraId="1D1EE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卷幅宽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205mm，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m/批</w:t>
            </w:r>
          </w:p>
        </w:tc>
      </w:tr>
      <w:tr w14:paraId="57F9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1" w:type="pct"/>
            <w:vMerge w:val="continue"/>
            <w:vAlign w:val="center"/>
          </w:tcPr>
          <w:p w14:paraId="1A9B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ind w:left="11"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7" w:type="pct"/>
            <w:vMerge w:val="continue"/>
          </w:tcPr>
          <w:p w14:paraId="45E2A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ind w:left="11"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641" w:type="pct"/>
            <w:gridSpan w:val="2"/>
            <w:vAlign w:val="center"/>
          </w:tcPr>
          <w:p w14:paraId="21DE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1" w:lineRule="atLeast"/>
              <w:ind w:left="11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缬沙坦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胶囊、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罗红霉素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胶囊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盐酸地芬尼多片、阿魏酸哌嗪片、腺苷钴胺胶囊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等用于防潮的复合膜，可不取微生物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样品</w:t>
            </w:r>
          </w:p>
        </w:tc>
      </w:tr>
    </w:tbl>
    <w:p w14:paraId="64D24140">
      <w:pPr>
        <w:spacing w:before="156" w:beforeLines="50"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2.取样要求</w:t>
      </w:r>
    </w:p>
    <w:p w14:paraId="2BAC3C2B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2.1取样应能代表整批生产的过程，遵循随机原则。生产中的首、末件必取，其余所取样品需涵盖整批洁净区最后工序的前、中、后，平均分布商品的整批生产过程。</w:t>
      </w:r>
    </w:p>
    <w:p w14:paraId="521E6B99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2.2聚氯乙烯固体药用硬片、药用铝箔、药用复合膜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聚酰胺/铝/聚氯乙烯冷冲压成型固体药用复合硬片</w:t>
      </w:r>
      <w:r>
        <w:rPr>
          <w:rFonts w:hint="default" w:ascii="Times New Roman" w:hAnsi="Times New Roman" w:cs="Times New Roman"/>
          <w:sz w:val="24"/>
          <w:szCs w:val="24"/>
        </w:rPr>
        <w:t>于符合要求的环境下，在分切卷或母卷上取符合要求的理化、微生物检验样品量。除微生物样品外，取下的各个样品，均需明显标注所取自的取样件卷号或箱号，标注位置的尺寸不得大于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cm*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cm。</w:t>
      </w:r>
    </w:p>
    <w:p w14:paraId="7FD301DA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2.3药用复合膜如直接接触药品，需按上述取样原则取样；如不直接接触药品，可不取微生物样品</w:t>
      </w:r>
      <w:r>
        <w:rPr>
          <w:rFonts w:hint="default" w:ascii="Times New Roman" w:hAnsi="Times New Roman" w:cs="Times New Roman"/>
          <w:bCs/>
          <w:sz w:val="24"/>
          <w:szCs w:val="24"/>
        </w:rPr>
        <w:t>（涉及品种见取样量表）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23395DA5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2.4取过样品的包装件，应当张贴取样证，取样证内容至少包括：取样物料名称、取样人员、取样数量(单位为cm/m)、取样件次、取样日期等，并填写取样记录并放入样品箱内附送至甲方。</w:t>
      </w:r>
    </w:p>
    <w:p w14:paraId="7729AC83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3.样品包装要求：方便样品的装入和取出，包装表面不会吸附样品，方便密封和储存。</w:t>
      </w:r>
    </w:p>
    <w:p w14:paraId="7DE88D65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3.1常规检验用样品包装:封口袋、干净的药用塑料袋。</w:t>
      </w:r>
    </w:p>
    <w:p w14:paraId="5083BE02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3.2微生物检验用的样品包装:洁净封口袋。</w:t>
      </w:r>
    </w:p>
    <w:p w14:paraId="4A639BFA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3.3理化样品片状物料可将多个样品叠放整齐后卷好,也可一个样品成卷，尽量保持样品完好性。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cs="Times New Roman"/>
          <w:sz w:val="24"/>
          <w:szCs w:val="24"/>
        </w:rPr>
        <w:t>装入袋中，并将袋口封/扎好。包装能防污染、折损等。</w:t>
      </w:r>
    </w:p>
    <w:p w14:paraId="078BEE66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3.4微生物样品使用封口袋或塑料袋单独包装并封/扎口，至少有2层包装。</w:t>
      </w:r>
    </w:p>
    <w:p w14:paraId="6C1C0998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3.5最后把微生物样品、理化样品装在同一个外层PE袋中并扎口。</w:t>
      </w:r>
    </w:p>
    <w:p w14:paraId="044F228D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4.样品标签：将样品标签贴于包装袋外表面，样品标签内容应至少包括：品名、批号、卷号/包装箱编号、取样量、取样人、取样数量(单位为cm/m,或个/只)、取样类别、取样日期等。</w:t>
      </w:r>
    </w:p>
    <w:p w14:paraId="4DCA4728">
      <w:pPr>
        <w:spacing w:line="360" w:lineRule="auto"/>
        <w:ind w:firstLine="4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5.样品存放条件：与物料的贮存条件一致，避免受潮及异物混入等情况，微生物限度检测的样品要保证样品的密封性。</w:t>
      </w:r>
    </w:p>
    <w:p w14:paraId="0F9D4095"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6.样品发运：样品发运应选用可防污染、防损的发运箱或其它容器。</w:t>
      </w:r>
    </w:p>
    <w:p w14:paraId="07B2E958"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样品箱标签：样品箱上应标注“样品箱”字样，并张贴有标签。标签内容应包括:供应商名称、品名、批号、规格、数量等，并用红色胶带或显著区别于非样品箱的胶带封口。样品箱随每批首单货物一起发运，与货物同时到货；</w:t>
      </w:r>
      <w:r>
        <w:rPr>
          <w:rFonts w:hint="eastAsia" w:asciiTheme="minorEastAsia" w:hAnsiTheme="minorEastAsia"/>
          <w:sz w:val="24"/>
          <w:szCs w:val="24"/>
        </w:rPr>
        <w:t>或</w:t>
      </w:r>
      <w:r>
        <w:rPr>
          <w:rFonts w:hint="default" w:cs="仿宋_GB2312" w:asciiTheme="minorEastAsia" w:hAnsiTheme="minorEastAsia" w:eastAsiaTheme="minorEastAsia"/>
          <w:bCs/>
          <w:sz w:val="24"/>
          <w:szCs w:val="24"/>
          <w:lang w:val="en-US" w:eastAsia="zh-CN"/>
        </w:rPr>
        <w:t>将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lang w:val="en-US" w:eastAsia="zh-CN"/>
        </w:rPr>
        <w:t>所取样品单独装</w:t>
      </w:r>
      <w:r>
        <w:rPr>
          <w:rFonts w:hint="eastAsia" w:asciiTheme="minorEastAsia" w:hAnsiTheme="minorEastAsia"/>
          <w:sz w:val="24"/>
          <w:szCs w:val="24"/>
        </w:rPr>
        <w:t>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后和</w:t>
      </w:r>
      <w:r>
        <w:rPr>
          <w:rFonts w:hint="default" w:cs="仿宋_GB2312" w:asciiTheme="minorEastAsia" w:hAnsiTheme="minorEastAsia" w:eastAsiaTheme="minorEastAsia"/>
          <w:bCs/>
          <w:sz w:val="24"/>
          <w:szCs w:val="24"/>
          <w:lang w:val="en-US" w:eastAsia="zh-CN"/>
        </w:rPr>
        <w:t>取样记录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lang w:val="en-US" w:eastAsia="zh-CN"/>
        </w:rPr>
        <w:t>一起</w:t>
      </w:r>
      <w:r>
        <w:rPr>
          <w:rFonts w:hint="eastAsia" w:asciiTheme="minorEastAsia" w:hAnsiTheme="minorEastAsia"/>
          <w:sz w:val="24"/>
          <w:szCs w:val="24"/>
        </w:rPr>
        <w:t>发快递，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但快递必须早于</w:t>
      </w:r>
      <w:r>
        <w:rPr>
          <w:rFonts w:hint="eastAsia" w:asciiTheme="minorEastAsia" w:hAnsiTheme="minorEastAsia"/>
          <w:sz w:val="24"/>
          <w:szCs w:val="24"/>
        </w:rPr>
        <w:t>货物到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达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lang w:val="en-US" w:eastAsia="zh-CN"/>
        </w:rPr>
        <w:t>。</w:t>
      </w:r>
    </w:p>
    <w:sectPr>
      <w:pgSz w:w="11907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3A"/>
    <w:rsid w:val="00002A18"/>
    <w:rsid w:val="000060A5"/>
    <w:rsid w:val="00040E5F"/>
    <w:rsid w:val="000411FF"/>
    <w:rsid w:val="00060797"/>
    <w:rsid w:val="000809A0"/>
    <w:rsid w:val="000A7014"/>
    <w:rsid w:val="000C4B3A"/>
    <w:rsid w:val="000E31A6"/>
    <w:rsid w:val="00112881"/>
    <w:rsid w:val="00124EF0"/>
    <w:rsid w:val="001505C0"/>
    <w:rsid w:val="001528BA"/>
    <w:rsid w:val="00181FDD"/>
    <w:rsid w:val="00190FCE"/>
    <w:rsid w:val="001A740A"/>
    <w:rsid w:val="00211B14"/>
    <w:rsid w:val="0029535E"/>
    <w:rsid w:val="002D59D8"/>
    <w:rsid w:val="002D728A"/>
    <w:rsid w:val="00325F08"/>
    <w:rsid w:val="003313BD"/>
    <w:rsid w:val="003E5D4F"/>
    <w:rsid w:val="00432A40"/>
    <w:rsid w:val="004559D4"/>
    <w:rsid w:val="00497FEA"/>
    <w:rsid w:val="00541771"/>
    <w:rsid w:val="00557BA3"/>
    <w:rsid w:val="005621EF"/>
    <w:rsid w:val="00573E14"/>
    <w:rsid w:val="00583651"/>
    <w:rsid w:val="00594C37"/>
    <w:rsid w:val="005C1F64"/>
    <w:rsid w:val="00644FE3"/>
    <w:rsid w:val="006505A7"/>
    <w:rsid w:val="006B641D"/>
    <w:rsid w:val="006C62EF"/>
    <w:rsid w:val="006E23EE"/>
    <w:rsid w:val="006E6414"/>
    <w:rsid w:val="00710233"/>
    <w:rsid w:val="0077086F"/>
    <w:rsid w:val="007947E1"/>
    <w:rsid w:val="007D74B3"/>
    <w:rsid w:val="007E181E"/>
    <w:rsid w:val="007F65A0"/>
    <w:rsid w:val="008047E1"/>
    <w:rsid w:val="00825CB6"/>
    <w:rsid w:val="0084320F"/>
    <w:rsid w:val="008C62B7"/>
    <w:rsid w:val="008D5C2C"/>
    <w:rsid w:val="0092046C"/>
    <w:rsid w:val="00956B21"/>
    <w:rsid w:val="00982E57"/>
    <w:rsid w:val="00984BFD"/>
    <w:rsid w:val="00986193"/>
    <w:rsid w:val="009A3C2B"/>
    <w:rsid w:val="009B685B"/>
    <w:rsid w:val="009D4B15"/>
    <w:rsid w:val="009F4A15"/>
    <w:rsid w:val="00A2699C"/>
    <w:rsid w:val="00AA0583"/>
    <w:rsid w:val="00AC2C10"/>
    <w:rsid w:val="00B6155E"/>
    <w:rsid w:val="00B62ECE"/>
    <w:rsid w:val="00B92A8B"/>
    <w:rsid w:val="00BE0A0C"/>
    <w:rsid w:val="00C25AF6"/>
    <w:rsid w:val="00C32EAB"/>
    <w:rsid w:val="00C4665D"/>
    <w:rsid w:val="00C47F20"/>
    <w:rsid w:val="00C606B9"/>
    <w:rsid w:val="00C61101"/>
    <w:rsid w:val="00C61459"/>
    <w:rsid w:val="00C63DD6"/>
    <w:rsid w:val="00C932E9"/>
    <w:rsid w:val="00CC6843"/>
    <w:rsid w:val="00CD2530"/>
    <w:rsid w:val="00CE639D"/>
    <w:rsid w:val="00CF5EEE"/>
    <w:rsid w:val="00D84097"/>
    <w:rsid w:val="00DA4931"/>
    <w:rsid w:val="00DC4451"/>
    <w:rsid w:val="00DE0CBD"/>
    <w:rsid w:val="00DE3539"/>
    <w:rsid w:val="00DF11B3"/>
    <w:rsid w:val="00E06076"/>
    <w:rsid w:val="00E22D51"/>
    <w:rsid w:val="00EB3B00"/>
    <w:rsid w:val="00ED57BD"/>
    <w:rsid w:val="00F25223"/>
    <w:rsid w:val="00FE716E"/>
    <w:rsid w:val="0CF80C91"/>
    <w:rsid w:val="0DAA267F"/>
    <w:rsid w:val="0DFA7D4C"/>
    <w:rsid w:val="0F011EEB"/>
    <w:rsid w:val="11733C86"/>
    <w:rsid w:val="15B23B51"/>
    <w:rsid w:val="17BF3D5F"/>
    <w:rsid w:val="20380B48"/>
    <w:rsid w:val="210C1A01"/>
    <w:rsid w:val="33F64577"/>
    <w:rsid w:val="39F5772D"/>
    <w:rsid w:val="4E7E52D2"/>
    <w:rsid w:val="50875A34"/>
    <w:rsid w:val="55251683"/>
    <w:rsid w:val="59142C25"/>
    <w:rsid w:val="5B1C4013"/>
    <w:rsid w:val="61D7583F"/>
    <w:rsid w:val="67AF7FBD"/>
    <w:rsid w:val="6A5A7505"/>
    <w:rsid w:val="7D0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semiHidden/>
    <w:qFormat/>
    <w:uiPriority w:val="99"/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styleId="17">
    <w:name w:val="Placeholder Text"/>
    <w:basedOn w:val="1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ABD6-0975-4CD5-BE0C-A2B1DA254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601</Words>
  <Characters>622</Characters>
  <Lines>13</Lines>
  <Paragraphs>3</Paragraphs>
  <TotalTime>0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2024-07-12T02:45:00Z</dcterms:created>
  <dc:creator>1</dc:creator>
  <cp:lastModifiedBy>Lydia</cp:lastModifiedBy>
  <cp:lastPrinted>2024-07-16T02:33:00Z</cp:lastPrinted>
  <dcterms:modified xsi:type="dcterms:W3CDTF">2025-12-05T01:30:11Z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eyJoZGlkIjoiZDFjZjkwOTEyYWVhNDM1NDA0NjRlMzJiMWEwY2QyMTEiLCJ1c2VySWQiOiIyNjAzOTA5MzgifQ==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FEC947D467A04C88ABD378BAE96BAAB1_13</vt:lpwstr>
  </property>
</Properties>
</file>